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BDE6" w14:textId="1697D5B7" w:rsidR="009909B6" w:rsidRDefault="009909B6" w:rsidP="009909B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CH"/>
        </w:rPr>
      </w:pPr>
      <w:bookmarkStart w:id="0" w:name="_Hlk61356923"/>
      <w:r w:rsidRPr="009653D0">
        <w:rPr>
          <w:rFonts w:ascii="Georgia" w:eastAsia="Times New Roman" w:hAnsi="Georgia" w:cs="Times New Roman"/>
          <w:sz w:val="28"/>
          <w:szCs w:val="28"/>
          <w:lang w:eastAsia="fr-CH"/>
        </w:rPr>
        <w:t>Marc 10,13-16</w:t>
      </w:r>
    </w:p>
    <w:p w14:paraId="59EE8FCA" w14:textId="77777777" w:rsidR="009653D0" w:rsidRPr="009653D0" w:rsidRDefault="009653D0" w:rsidP="009909B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CH"/>
        </w:rPr>
      </w:pPr>
    </w:p>
    <w:p w14:paraId="214D2A46" w14:textId="77777777" w:rsidR="009909B6" w:rsidRPr="009653D0" w:rsidRDefault="009909B6" w:rsidP="009909B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CH"/>
        </w:rPr>
      </w:pPr>
      <w:r w:rsidRPr="009653D0">
        <w:rPr>
          <w:rFonts w:ascii="Georgia" w:eastAsia="Times New Roman" w:hAnsi="Georgia" w:cs="Times New Roman"/>
          <w:sz w:val="28"/>
          <w:szCs w:val="28"/>
          <w:lang w:eastAsia="fr-CH"/>
        </w:rPr>
        <w:t xml:space="preserve">Des gens présentaient à Jésus des enfants pour qu’il pose la main sur eux ; mais les disciples les écartèrent vivement. </w:t>
      </w:r>
    </w:p>
    <w:p w14:paraId="285B93E0" w14:textId="77777777" w:rsidR="009909B6" w:rsidRPr="009653D0" w:rsidRDefault="009909B6" w:rsidP="009909B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CH"/>
        </w:rPr>
      </w:pPr>
      <w:r w:rsidRPr="009653D0">
        <w:rPr>
          <w:rFonts w:ascii="Georgia" w:eastAsia="Times New Roman" w:hAnsi="Georgia" w:cs="Times New Roman"/>
          <w:sz w:val="28"/>
          <w:szCs w:val="28"/>
          <w:lang w:eastAsia="fr-CH"/>
        </w:rPr>
        <w:t xml:space="preserve">14 Voyant cela, Jésus se fâcha et leur dit : « Laissez les enfants venir à moi, ne les empêchez pas, car le royaume de Dieu est à ceux qui leur ressemblent. </w:t>
      </w:r>
    </w:p>
    <w:p w14:paraId="5C44C70C" w14:textId="77777777" w:rsidR="009909B6" w:rsidRPr="009653D0" w:rsidRDefault="009909B6" w:rsidP="009909B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CH"/>
        </w:rPr>
      </w:pPr>
      <w:r w:rsidRPr="009653D0">
        <w:rPr>
          <w:rFonts w:ascii="Georgia" w:eastAsia="Times New Roman" w:hAnsi="Georgia" w:cs="Times New Roman"/>
          <w:sz w:val="28"/>
          <w:szCs w:val="28"/>
          <w:lang w:eastAsia="fr-CH"/>
        </w:rPr>
        <w:t xml:space="preserve">15 Amen, je vous le dis : celui qui n’accueille pas le royaume de Dieu à la manière d’un enfant n’y entrera pas. » </w:t>
      </w:r>
    </w:p>
    <w:p w14:paraId="55950CEC" w14:textId="49C6D315" w:rsidR="009909B6" w:rsidRPr="009653D0" w:rsidRDefault="009909B6" w:rsidP="009909B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CH"/>
        </w:rPr>
      </w:pPr>
      <w:r w:rsidRPr="009653D0">
        <w:rPr>
          <w:rFonts w:ascii="Georgia" w:eastAsia="Times New Roman" w:hAnsi="Georgia" w:cs="Times New Roman"/>
          <w:sz w:val="28"/>
          <w:szCs w:val="28"/>
          <w:lang w:eastAsia="fr-CH"/>
        </w:rPr>
        <w:t xml:space="preserve">16 Il les embrassait et les bénissait en leur imposant les mains. </w:t>
      </w:r>
    </w:p>
    <w:p w14:paraId="6B9C9A07" w14:textId="71CDF0BB" w:rsidR="009653D0" w:rsidRPr="009653D0" w:rsidRDefault="009653D0" w:rsidP="009909B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CH"/>
        </w:rPr>
      </w:pPr>
    </w:p>
    <w:p w14:paraId="4406D8AD" w14:textId="55B348CD" w:rsidR="009653D0" w:rsidRPr="009653D0" w:rsidRDefault="009653D0" w:rsidP="009653D0">
      <w:pPr>
        <w:rPr>
          <w:rFonts w:ascii="Georgia" w:hAnsi="Georgia"/>
          <w:b/>
          <w:sz w:val="24"/>
        </w:rPr>
      </w:pPr>
      <w:r w:rsidRPr="009653D0">
        <w:rPr>
          <w:rFonts w:ascii="Georgia" w:hAnsi="Georgia"/>
          <w:b/>
          <w:sz w:val="24"/>
        </w:rPr>
        <w:t>Tableau de recherche biblique</w:t>
      </w:r>
    </w:p>
    <w:tbl>
      <w:tblPr>
        <w:tblpPr w:leftFromText="141" w:rightFromText="141" w:vertAnchor="page" w:horzAnchor="margin" w:tblpY="403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134"/>
        <w:gridCol w:w="1135"/>
        <w:gridCol w:w="1280"/>
        <w:gridCol w:w="1412"/>
        <w:gridCol w:w="1275"/>
        <w:gridCol w:w="1134"/>
        <w:gridCol w:w="1843"/>
        <w:gridCol w:w="1276"/>
        <w:gridCol w:w="1134"/>
        <w:gridCol w:w="1418"/>
      </w:tblGrid>
      <w:tr w:rsidR="009653D0" w:rsidRPr="009653D0" w14:paraId="7E195BDC" w14:textId="77777777" w:rsidTr="009653D0">
        <w:trPr>
          <w:trHeight w:val="699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5B0D4F" w14:textId="048C91F5" w:rsidR="009653D0" w:rsidRPr="009653D0" w:rsidRDefault="009653D0" w:rsidP="009653D0">
            <w:pPr>
              <w:spacing w:after="0" w:line="240" w:lineRule="auto"/>
              <w:ind w:right="-66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bookmarkStart w:id="1" w:name="_Hlk32844556"/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1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ère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  <w:p w14:paraId="5D1A77D9" w14:textId="77777777" w:rsidR="009653D0" w:rsidRPr="009653D0" w:rsidRDefault="009653D0" w:rsidP="009653D0">
            <w:pPr>
              <w:spacing w:after="0" w:line="240" w:lineRule="auto"/>
              <w:ind w:right="-66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  <w:tc>
          <w:tcPr>
            <w:tcW w:w="496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4AC1A" w14:textId="77777777" w:rsidR="009653D0" w:rsidRPr="009653D0" w:rsidRDefault="009653D0" w:rsidP="009653D0">
            <w:pPr>
              <w:spacing w:after="0" w:line="240" w:lineRule="auto"/>
              <w:ind w:right="-66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2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  <w:p w14:paraId="25FB4D58" w14:textId="77777777" w:rsidR="009653D0" w:rsidRPr="009653D0" w:rsidRDefault="009653D0" w:rsidP="009653D0">
            <w:pPr>
              <w:spacing w:after="0" w:line="240" w:lineRule="auto"/>
              <w:ind w:right="-66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D2F206" w14:textId="77777777" w:rsidR="009653D0" w:rsidRPr="009653D0" w:rsidRDefault="009653D0" w:rsidP="009653D0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3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  <w:p w14:paraId="1B9BADD8" w14:textId="77777777" w:rsidR="009653D0" w:rsidRPr="009653D0" w:rsidRDefault="009653D0" w:rsidP="009653D0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8ECE5" w14:textId="77777777" w:rsidR="009653D0" w:rsidRPr="009653D0" w:rsidRDefault="009653D0" w:rsidP="009653D0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4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 </w:t>
            </w:r>
          </w:p>
          <w:p w14:paraId="5A54D439" w14:textId="77777777" w:rsidR="009653D0" w:rsidRPr="009653D0" w:rsidRDefault="009653D0" w:rsidP="009653D0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  <w:tc>
          <w:tcPr>
            <w:tcW w:w="3828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5E700B" w14:textId="77777777" w:rsidR="009653D0" w:rsidRPr="009653D0" w:rsidRDefault="009653D0" w:rsidP="009653D0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5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vertAlign w:val="superscript"/>
                <w:lang w:eastAsia="fr-FR"/>
              </w:rPr>
              <w:t>ème</w:t>
            </w:r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 xml:space="preserve">  </w:t>
            </w:r>
          </w:p>
          <w:p w14:paraId="58FD0799" w14:textId="77777777" w:rsidR="009653D0" w:rsidRPr="009653D0" w:rsidRDefault="009653D0" w:rsidP="009653D0">
            <w:pPr>
              <w:spacing w:after="0" w:line="240" w:lineRule="auto"/>
              <w:ind w:right="-75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="Times New Roman"/>
                <w:b/>
                <w:sz w:val="24"/>
                <w:szCs w:val="24"/>
                <w:lang w:eastAsia="fr-FR"/>
              </w:rPr>
              <w:t>approche</w:t>
            </w:r>
            <w:proofErr w:type="gramEnd"/>
          </w:p>
        </w:tc>
      </w:tr>
      <w:tr w:rsidR="009653D0" w:rsidRPr="009653D0" w14:paraId="570208EB" w14:textId="77777777" w:rsidTr="009653D0">
        <w:trPr>
          <w:trHeight w:val="411"/>
        </w:trPr>
        <w:tc>
          <w:tcPr>
            <w:tcW w:w="988" w:type="dxa"/>
            <w:vMerge w:val="restart"/>
            <w:shd w:val="clear" w:color="auto" w:fill="FFFF00"/>
          </w:tcPr>
          <w:p w14:paraId="2DE5FA9D" w14:textId="77777777" w:rsidR="009653D0" w:rsidRPr="009653D0" w:rsidRDefault="009653D0" w:rsidP="009653D0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hAnsi="Georgia" w:cstheme="minorHAnsi"/>
                <w:sz w:val="24"/>
                <w:szCs w:val="24"/>
                <w:highlight w:val="yellow"/>
              </w:rPr>
              <w:t>Nom</w:t>
            </w:r>
            <w:r w:rsidRPr="009653D0">
              <w:rPr>
                <w:rFonts w:ascii="Georgia" w:hAnsi="Georgia" w:cstheme="minorHAnsi"/>
                <w:sz w:val="24"/>
                <w:szCs w:val="24"/>
              </w:rPr>
              <w:t>s</w:t>
            </w: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6ACC1DE4" w14:textId="77777777" w:rsidR="009653D0" w:rsidRPr="009653D0" w:rsidRDefault="009653D0" w:rsidP="009653D0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33A3B142" w14:textId="77777777" w:rsidR="009653D0" w:rsidRPr="009653D0" w:rsidRDefault="009653D0" w:rsidP="009653D0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Dieu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66FF99"/>
          </w:tcPr>
          <w:p w14:paraId="29D40D84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Noms</w:t>
            </w:r>
          </w:p>
          <w:p w14:paraId="471740F1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62233C09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personnes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FF6600"/>
          </w:tcPr>
          <w:p w14:paraId="7CC300FA" w14:textId="77777777" w:rsidR="009653D0" w:rsidRPr="009653D0" w:rsidRDefault="009653D0" w:rsidP="009653D0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Gestes,</w:t>
            </w:r>
          </w:p>
          <w:p w14:paraId="6009839C" w14:textId="77777777" w:rsidR="009653D0" w:rsidRPr="009653D0" w:rsidRDefault="009653D0" w:rsidP="009653D0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actes</w:t>
            </w:r>
            <w:proofErr w:type="gramEnd"/>
          </w:p>
          <w:p w14:paraId="680ADD33" w14:textId="77777777" w:rsidR="009653D0" w:rsidRPr="009653D0" w:rsidRDefault="009653D0" w:rsidP="009653D0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Dieu</w:t>
            </w:r>
          </w:p>
        </w:tc>
        <w:tc>
          <w:tcPr>
            <w:tcW w:w="1135" w:type="dxa"/>
            <w:vMerge w:val="restart"/>
            <w:shd w:val="clear" w:color="auto" w:fill="FFC000"/>
          </w:tcPr>
          <w:p w14:paraId="03D4CC17" w14:textId="77777777" w:rsidR="009653D0" w:rsidRPr="009653D0" w:rsidRDefault="009653D0" w:rsidP="009653D0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Paroles</w:t>
            </w:r>
          </w:p>
          <w:p w14:paraId="15A64AAD" w14:textId="77777777" w:rsidR="009653D0" w:rsidRPr="009653D0" w:rsidRDefault="009653D0" w:rsidP="009653D0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278B8ACB" w14:textId="77777777" w:rsidR="009653D0" w:rsidRPr="009653D0" w:rsidRDefault="009653D0" w:rsidP="009653D0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Dieu</w:t>
            </w:r>
          </w:p>
        </w:tc>
        <w:tc>
          <w:tcPr>
            <w:tcW w:w="1280" w:type="dxa"/>
            <w:vMerge w:val="restart"/>
            <w:shd w:val="clear" w:color="auto" w:fill="FBD4B4" w:themeFill="accent6" w:themeFillTint="66"/>
          </w:tcPr>
          <w:p w14:paraId="2F584D36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Gestes, actes...</w:t>
            </w:r>
          </w:p>
          <w:p w14:paraId="6996E4AF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personnes</w:t>
            </w:r>
          </w:p>
        </w:tc>
        <w:tc>
          <w:tcPr>
            <w:tcW w:w="1412" w:type="dxa"/>
            <w:vMerge w:val="restart"/>
            <w:tcBorders>
              <w:right w:val="single" w:sz="12" w:space="0" w:color="auto"/>
            </w:tcBorders>
            <w:shd w:val="clear" w:color="auto" w:fill="92D050"/>
          </w:tcPr>
          <w:p w14:paraId="5CD00622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Paroles</w:t>
            </w:r>
          </w:p>
          <w:p w14:paraId="33882A28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personnes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61847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Thèmes</w:t>
            </w:r>
          </w:p>
          <w:p w14:paraId="0F9E03CF" w14:textId="77777777" w:rsidR="009653D0" w:rsidRPr="009653D0" w:rsidRDefault="009653D0" w:rsidP="009653D0">
            <w:pPr>
              <w:spacing w:after="0" w:line="240" w:lineRule="auto"/>
              <w:ind w:left="-70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Répétitions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C04CF87" w14:textId="77777777" w:rsidR="009653D0" w:rsidRPr="009653D0" w:rsidRDefault="009653D0" w:rsidP="009653D0">
            <w:pPr>
              <w:spacing w:after="0" w:line="240" w:lineRule="auto"/>
              <w:ind w:left="-65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Indications</w:t>
            </w:r>
          </w:p>
          <w:p w14:paraId="1F9A31C8" w14:textId="77777777" w:rsidR="009653D0" w:rsidRPr="009653D0" w:rsidRDefault="009653D0" w:rsidP="009653D0">
            <w:pPr>
              <w:spacing w:after="0" w:line="240" w:lineRule="auto"/>
              <w:ind w:left="-75" w:right="-6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lieux     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</w:tcPr>
          <w:p w14:paraId="797480EC" w14:textId="77777777" w:rsidR="009653D0" w:rsidRPr="009653D0" w:rsidRDefault="009653D0" w:rsidP="009653D0">
            <w:pPr>
              <w:spacing w:after="0" w:line="240" w:lineRule="auto"/>
              <w:ind w:left="-71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Indications </w:t>
            </w:r>
          </w:p>
          <w:p w14:paraId="0582D194" w14:textId="77777777" w:rsidR="009653D0" w:rsidRPr="009653D0" w:rsidRDefault="009653D0" w:rsidP="009653D0">
            <w:pPr>
              <w:spacing w:after="0" w:line="240" w:lineRule="auto"/>
              <w:ind w:left="-71" w:right="-70" w:firstLine="6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manière</w:t>
            </w:r>
          </w:p>
          <w:p w14:paraId="06AEC75A" w14:textId="77777777" w:rsidR="009653D0" w:rsidRPr="009653D0" w:rsidRDefault="009653D0" w:rsidP="009653D0">
            <w:pPr>
              <w:spacing w:after="0" w:line="240" w:lineRule="auto"/>
              <w:ind w:left="-71" w:right="-70" w:firstLine="1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Adjectifs qualificatifs</w:t>
            </w:r>
          </w:p>
          <w:p w14:paraId="7A227E17" w14:textId="77777777" w:rsidR="009653D0" w:rsidRPr="009653D0" w:rsidRDefault="009653D0" w:rsidP="009653D0">
            <w:pPr>
              <w:spacing w:after="0" w:line="240" w:lineRule="auto"/>
              <w:ind w:left="-71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Indices Corporels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84C339E" w14:textId="77777777" w:rsidR="009653D0" w:rsidRPr="009653D0" w:rsidRDefault="009653D0" w:rsidP="009653D0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Mots </w:t>
            </w:r>
          </w:p>
          <w:p w14:paraId="3E64E03B" w14:textId="77777777" w:rsidR="009653D0" w:rsidRPr="009653D0" w:rsidRDefault="009653D0" w:rsidP="009653D0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« </w:t>
            </w: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clés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»</w:t>
            </w:r>
            <w:r w:rsidRPr="009653D0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3EFB1B3D" w14:textId="77777777" w:rsidR="009653D0" w:rsidRPr="009653D0" w:rsidRDefault="009653D0" w:rsidP="009653D0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Contexte </w:t>
            </w:r>
          </w:p>
          <w:p w14:paraId="4250CAE7" w14:textId="77777777" w:rsidR="009653D0" w:rsidRPr="009653D0" w:rsidRDefault="009653D0" w:rsidP="009653D0">
            <w:pPr>
              <w:spacing w:after="0" w:line="240" w:lineRule="auto"/>
              <w:ind w:left="-71" w:right="-70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biblique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 : judaïsme liturgique</w:t>
            </w:r>
          </w:p>
        </w:tc>
        <w:tc>
          <w:tcPr>
            <w:tcW w:w="1418" w:type="dxa"/>
            <w:vMerge w:val="restart"/>
          </w:tcPr>
          <w:p w14:paraId="3084CE4B" w14:textId="77777777" w:rsidR="009653D0" w:rsidRPr="009653D0" w:rsidRDefault="009653D0" w:rsidP="009653D0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Adjectifs,</w:t>
            </w:r>
          </w:p>
          <w:p w14:paraId="71EAECEF" w14:textId="77777777" w:rsidR="009653D0" w:rsidRPr="009653D0" w:rsidRDefault="009653D0" w:rsidP="009653D0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pronoms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 :</w:t>
            </w:r>
          </w:p>
          <w:p w14:paraId="5C9076EC" w14:textId="77777777" w:rsidR="009653D0" w:rsidRPr="009653D0" w:rsidRDefault="009653D0" w:rsidP="009653D0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possessifs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</w:t>
            </w:r>
          </w:p>
          <w:p w14:paraId="2D2F1D5E" w14:textId="77777777" w:rsidR="009653D0" w:rsidRPr="009653D0" w:rsidRDefault="009653D0" w:rsidP="009653D0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démonstratifs</w:t>
            </w:r>
            <w:proofErr w:type="gramEnd"/>
          </w:p>
          <w:p w14:paraId="03866CA1" w14:textId="77777777" w:rsidR="009653D0" w:rsidRPr="009653D0" w:rsidRDefault="009653D0" w:rsidP="009653D0">
            <w:pPr>
              <w:spacing w:after="0" w:line="240" w:lineRule="auto"/>
              <w:ind w:hanging="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numéraux</w:t>
            </w:r>
            <w:proofErr w:type="gramEnd"/>
          </w:p>
        </w:tc>
      </w:tr>
      <w:tr w:rsidR="009653D0" w:rsidRPr="009653D0" w14:paraId="4955C449" w14:textId="77777777" w:rsidTr="009653D0">
        <w:trPr>
          <w:trHeight w:val="340"/>
        </w:trPr>
        <w:tc>
          <w:tcPr>
            <w:tcW w:w="988" w:type="dxa"/>
            <w:vMerge/>
            <w:shd w:val="clear" w:color="auto" w:fill="FFFF00"/>
          </w:tcPr>
          <w:p w14:paraId="041D1490" w14:textId="77777777" w:rsidR="009653D0" w:rsidRPr="009653D0" w:rsidRDefault="009653D0" w:rsidP="009653D0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66FF99"/>
          </w:tcPr>
          <w:p w14:paraId="6AAA8F15" w14:textId="77777777" w:rsidR="009653D0" w:rsidRPr="009653D0" w:rsidRDefault="009653D0" w:rsidP="009653D0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FF6600"/>
          </w:tcPr>
          <w:p w14:paraId="2C40105E" w14:textId="77777777" w:rsidR="009653D0" w:rsidRPr="009653D0" w:rsidRDefault="009653D0" w:rsidP="009653D0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5" w:type="dxa"/>
            <w:vMerge/>
            <w:shd w:val="clear" w:color="auto" w:fill="FFC000"/>
          </w:tcPr>
          <w:p w14:paraId="30C0A3AA" w14:textId="77777777" w:rsidR="009653D0" w:rsidRPr="009653D0" w:rsidRDefault="009653D0" w:rsidP="009653D0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FBD4B4" w:themeFill="accent6" w:themeFillTint="66"/>
          </w:tcPr>
          <w:p w14:paraId="69538F77" w14:textId="77777777" w:rsidR="009653D0" w:rsidRPr="009653D0" w:rsidRDefault="009653D0" w:rsidP="009653D0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2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45B3B8D9" w14:textId="77777777" w:rsidR="009653D0" w:rsidRPr="009653D0" w:rsidRDefault="009653D0" w:rsidP="009653D0">
            <w:pPr>
              <w:spacing w:after="0" w:line="240" w:lineRule="auto"/>
              <w:ind w:right="-66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C736E6" w14:textId="77777777" w:rsidR="009653D0" w:rsidRPr="009653D0" w:rsidRDefault="009653D0" w:rsidP="009653D0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91D5C4" w14:textId="77777777" w:rsidR="009653D0" w:rsidRPr="009653D0" w:rsidRDefault="009653D0" w:rsidP="009653D0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 xml:space="preserve"> temps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60C2B397" w14:textId="77777777" w:rsidR="009653D0" w:rsidRPr="009653D0" w:rsidRDefault="009653D0" w:rsidP="009653D0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8709D92" w14:textId="77777777" w:rsidR="009653D0" w:rsidRPr="009653D0" w:rsidRDefault="009653D0" w:rsidP="009653D0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contraires</w:t>
            </w:r>
            <w:proofErr w:type="gramEnd"/>
          </w:p>
          <w:p w14:paraId="0359AB3B" w14:textId="77777777" w:rsidR="009653D0" w:rsidRPr="009653D0" w:rsidRDefault="009653D0" w:rsidP="009653D0">
            <w:pPr>
              <w:spacing w:after="0" w:line="240" w:lineRule="auto"/>
              <w:ind w:left="-70" w:right="-70"/>
              <w:jc w:val="center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  <w:proofErr w:type="gramStart"/>
            <w:r w:rsidRPr="009653D0"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  <w:t>oppositions</w:t>
            </w:r>
            <w:proofErr w:type="gramEnd"/>
          </w:p>
        </w:tc>
        <w:tc>
          <w:tcPr>
            <w:tcW w:w="1134" w:type="dxa"/>
            <w:vMerge/>
          </w:tcPr>
          <w:p w14:paraId="220AAAF6" w14:textId="77777777" w:rsidR="009653D0" w:rsidRPr="009653D0" w:rsidRDefault="009653D0" w:rsidP="009653D0">
            <w:pPr>
              <w:spacing w:after="0" w:line="240" w:lineRule="auto"/>
              <w:ind w:right="-75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Merge/>
          </w:tcPr>
          <w:p w14:paraId="0E4D5F82" w14:textId="77777777" w:rsidR="009653D0" w:rsidRPr="009653D0" w:rsidRDefault="009653D0" w:rsidP="009653D0">
            <w:pPr>
              <w:spacing w:after="0" w:line="240" w:lineRule="auto"/>
              <w:ind w:right="-75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</w:p>
        </w:tc>
      </w:tr>
      <w:tr w:rsidR="009653D0" w:rsidRPr="009653D0" w14:paraId="5305D599" w14:textId="77777777" w:rsidTr="009653D0">
        <w:trPr>
          <w:trHeight w:val="873"/>
        </w:trPr>
        <w:tc>
          <w:tcPr>
            <w:tcW w:w="988" w:type="dxa"/>
          </w:tcPr>
          <w:p w14:paraId="7A57F7FD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BD18C17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50F8067A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561D5208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3DE0E355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777E1954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3B9EA978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50D84778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43AAF7F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2A6B5A01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73689B0C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0F110E87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1C670B91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  <w:p w14:paraId="0B5CAD43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position w:val="6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6F96F6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FF6157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135" w:type="dxa"/>
          </w:tcPr>
          <w:p w14:paraId="2C4617C1" w14:textId="77777777" w:rsidR="009653D0" w:rsidRPr="009653D0" w:rsidRDefault="009653D0" w:rsidP="009653D0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80" w:type="dxa"/>
          </w:tcPr>
          <w:p w14:paraId="180A1617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</w:tcPr>
          <w:p w14:paraId="55FE3510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46964F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0112F6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B416566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6DBC19C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</w:tcPr>
          <w:p w14:paraId="179F696C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</w:tcPr>
          <w:p w14:paraId="599C0F5A" w14:textId="77777777" w:rsidR="009653D0" w:rsidRPr="009653D0" w:rsidRDefault="009653D0" w:rsidP="009653D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fr-FR"/>
              </w:rPr>
            </w:pPr>
          </w:p>
        </w:tc>
      </w:tr>
      <w:bookmarkEnd w:id="1"/>
    </w:tbl>
    <w:p w14:paraId="514A8C4D" w14:textId="77777777" w:rsidR="009653D0" w:rsidRDefault="009653D0" w:rsidP="009653D0">
      <w:pPr>
        <w:pStyle w:val="Paragraphedeliste"/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</w:p>
    <w:p w14:paraId="66A47C48" w14:textId="77777777" w:rsidR="009653D0" w:rsidRPr="009653D0" w:rsidRDefault="009653D0" w:rsidP="009653D0">
      <w:p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</w:p>
    <w:p w14:paraId="6796FD3C" w14:textId="4FE38650" w:rsidR="009653D0" w:rsidRPr="009653D0" w:rsidRDefault="009653D0" w:rsidP="009653D0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9653D0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lastRenderedPageBreak/>
        <w:t>Je lis le texte.</w:t>
      </w:r>
    </w:p>
    <w:p w14:paraId="5510EC6B" w14:textId="21B08CE9" w:rsidR="009653D0" w:rsidRPr="009653D0" w:rsidRDefault="009653D0" w:rsidP="009653D0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9653D0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Je note ce qui me surprend/interroge.</w:t>
      </w:r>
    </w:p>
    <w:p w14:paraId="054AB3D8" w14:textId="77777777" w:rsidR="009653D0" w:rsidRPr="009653D0" w:rsidRDefault="009653D0" w:rsidP="009653D0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9653D0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Je souligne ou je note dans le tableau les catégories de mots mentionnés.</w:t>
      </w:r>
    </w:p>
    <w:p w14:paraId="1DE21952" w14:textId="7293DA48" w:rsidR="009653D0" w:rsidRPr="009653D0" w:rsidRDefault="009653D0" w:rsidP="009653D0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9653D0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Je situe le texte dans son contexte biblique.</w:t>
      </w:r>
    </w:p>
    <w:p w14:paraId="2D29EB80" w14:textId="5CF6BD43" w:rsidR="009653D0" w:rsidRPr="009653D0" w:rsidRDefault="009653D0" w:rsidP="009653D0">
      <w:pPr>
        <w:pStyle w:val="Paragraphedeliste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</w:pPr>
      <w:r w:rsidRPr="009653D0">
        <w:rPr>
          <w:rFonts w:ascii="Georgia" w:eastAsia="Times New Roman" w:hAnsi="Georgia" w:cs="Times New Roman"/>
          <w:b/>
          <w:bCs/>
          <w:sz w:val="24"/>
          <w:szCs w:val="24"/>
          <w:lang w:eastAsia="fr-CH"/>
        </w:rPr>
        <w:t>Comment les passages du CEC éclairent le texte ?</w:t>
      </w:r>
    </w:p>
    <w:p w14:paraId="383DD4D8" w14:textId="77777777" w:rsidR="00B61FED" w:rsidRPr="009653D0" w:rsidRDefault="00B61FED" w:rsidP="009653D0">
      <w:pPr>
        <w:rPr>
          <w:rFonts w:ascii="Georgia" w:hAnsi="Georgia"/>
          <w:b/>
          <w:bCs/>
        </w:rPr>
      </w:pPr>
    </w:p>
    <w:p w14:paraId="476F7641" w14:textId="7F308BEB" w:rsidR="009653D0" w:rsidRPr="009653D0" w:rsidRDefault="009653D0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699 </w:t>
      </w:r>
      <w:r w:rsidRPr="009653D0"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9653D0"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 xml:space="preserve">La </w:t>
      </w:r>
      <w:proofErr w:type="gramStart"/>
      <w:r w:rsidRPr="009653D0"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main </w:t>
      </w:r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proofErr w:type="gramEnd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C’est en imposant les mains que Jésus guérit les malades (cf. Mc 6, 5 ; 8, 23) et bénit les petits enfants (cf. Mc 10, 16). En son nom, les apôtres feront de même (cf. Mc 16, 18 ; </w:t>
      </w:r>
      <w:proofErr w:type="spellStart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Ac</w:t>
      </w:r>
      <w:proofErr w:type="spellEnd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5, 12 ; 14, 3). Mieux encore, c’est par l’imposition des mains des apôtres que l’Esprit Saint est donné (cf. </w:t>
      </w:r>
      <w:proofErr w:type="spellStart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Ac</w:t>
      </w:r>
      <w:proofErr w:type="spellEnd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8, 17-19 ; 13, 3 ; 19, 6). L’Épître aux Hébreux met l’imposition des mains au nombre des " articles fondamentaux " de son enseignement (cf. He 6, 2). Ce signe de l’effusion toute-puissante de l’Esprit Saint, l’Église l’a gardé dans ses épiclèses sacramentelles.</w:t>
      </w:r>
    </w:p>
    <w:p w14:paraId="3A30345A" w14:textId="77777777" w:rsidR="009653D0" w:rsidRPr="009653D0" w:rsidRDefault="009653D0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744839A5" w14:textId="77777777" w:rsidR="009653D0" w:rsidRPr="009653D0" w:rsidRDefault="009653D0" w:rsidP="009653D0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9653D0">
        <w:rPr>
          <w:rFonts w:ascii="Georgia" w:hAnsi="Georgia"/>
          <w:color w:val="000000"/>
          <w:sz w:val="27"/>
          <w:szCs w:val="27"/>
        </w:rPr>
        <w:t>26</w:t>
      </w:r>
      <w:r w:rsidRPr="009653D0">
        <w:rPr>
          <w:rFonts w:ascii="Georgia" w:hAnsi="Georgia"/>
          <w:i/>
          <w:iCs/>
          <w:color w:val="000000"/>
          <w:sz w:val="27"/>
          <w:szCs w:val="27"/>
        </w:rPr>
        <w:t> </w:t>
      </w:r>
      <w:r w:rsidRPr="009653D0">
        <w:rPr>
          <w:rFonts w:ascii="Georgia" w:hAnsi="Georgia"/>
          <w:color w:val="000000"/>
          <w:sz w:val="27"/>
          <w:szCs w:val="27"/>
        </w:rPr>
        <w:t>" Devenir enfant " par rapport à Dieu est la condition pour entrer dans le Royaume (cf. Mt 18, 3-4) ; pour cela il faut s’abaisser (cf. Mt 23, 12), devenir petit ; plus encore : il faut " naître d’en haut " (</w:t>
      </w:r>
      <w:proofErr w:type="spellStart"/>
      <w:r w:rsidRPr="009653D0">
        <w:rPr>
          <w:rFonts w:ascii="Georgia" w:hAnsi="Georgia"/>
          <w:color w:val="000000"/>
          <w:sz w:val="27"/>
          <w:szCs w:val="27"/>
        </w:rPr>
        <w:t>Jn</w:t>
      </w:r>
      <w:proofErr w:type="spellEnd"/>
      <w:r w:rsidRPr="009653D0">
        <w:rPr>
          <w:rFonts w:ascii="Georgia" w:hAnsi="Georgia"/>
          <w:color w:val="000000"/>
          <w:sz w:val="27"/>
          <w:szCs w:val="27"/>
        </w:rPr>
        <w:t xml:space="preserve"> 3, 7), " naître de Dieu " (</w:t>
      </w:r>
      <w:proofErr w:type="spellStart"/>
      <w:r w:rsidRPr="009653D0">
        <w:rPr>
          <w:rFonts w:ascii="Georgia" w:hAnsi="Georgia"/>
          <w:color w:val="000000"/>
          <w:sz w:val="27"/>
          <w:szCs w:val="27"/>
        </w:rPr>
        <w:t>Jn</w:t>
      </w:r>
      <w:proofErr w:type="spellEnd"/>
      <w:r w:rsidRPr="009653D0">
        <w:rPr>
          <w:rFonts w:ascii="Georgia" w:hAnsi="Georgia"/>
          <w:color w:val="000000"/>
          <w:sz w:val="27"/>
          <w:szCs w:val="27"/>
        </w:rPr>
        <w:t xml:space="preserve"> 1, 13) pour " devenir enfants de Dieu " (</w:t>
      </w:r>
      <w:proofErr w:type="spellStart"/>
      <w:r w:rsidRPr="009653D0">
        <w:rPr>
          <w:rFonts w:ascii="Georgia" w:hAnsi="Georgia"/>
          <w:color w:val="000000"/>
          <w:sz w:val="27"/>
          <w:szCs w:val="27"/>
        </w:rPr>
        <w:t>Jn</w:t>
      </w:r>
      <w:proofErr w:type="spellEnd"/>
      <w:r w:rsidRPr="009653D0">
        <w:rPr>
          <w:rFonts w:ascii="Georgia" w:hAnsi="Georgia"/>
          <w:color w:val="000000"/>
          <w:sz w:val="27"/>
          <w:szCs w:val="27"/>
        </w:rPr>
        <w:t xml:space="preserve"> 1, 12). Le mystère de Noël s’accomplit en nous lorsque le Christ " prend forme " en nous (Ga 4, 19). Noël est le mystère de cet " admirable échange " :</w:t>
      </w:r>
    </w:p>
    <w:p w14:paraId="11D877C3" w14:textId="77777777" w:rsidR="009653D0" w:rsidRPr="009653D0" w:rsidRDefault="009653D0" w:rsidP="009653D0">
      <w:pPr>
        <w:pStyle w:val="NormalWeb"/>
        <w:ind w:left="1440"/>
        <w:rPr>
          <w:rFonts w:ascii="Georgia" w:hAnsi="Georgia"/>
          <w:color w:val="000000"/>
          <w:sz w:val="27"/>
          <w:szCs w:val="27"/>
        </w:rPr>
      </w:pPr>
      <w:r w:rsidRPr="009653D0">
        <w:rPr>
          <w:rFonts w:ascii="Georgia" w:hAnsi="Georgia"/>
          <w:color w:val="000000"/>
          <w:sz w:val="27"/>
          <w:szCs w:val="27"/>
        </w:rPr>
        <w:t>O admirable échange ! Le créateur du genre humain, assumant un corps et une âme, a daigné naître d’une vierge et, devenu homme sans l’intervention de l’homme, Il nous a fait don de sa divinité (LH, antienne de l’octave de Noël).</w:t>
      </w:r>
    </w:p>
    <w:p w14:paraId="4D1BFB67" w14:textId="77777777" w:rsidR="009653D0" w:rsidRPr="009653D0" w:rsidRDefault="009653D0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7A7E81A2" w14:textId="3A46E716" w:rsidR="009909B6" w:rsidRPr="009653D0" w:rsidRDefault="009653D0">
      <w:pPr>
        <w:rPr>
          <w:rFonts w:ascii="Georgia" w:hAnsi="Georgia"/>
        </w:rPr>
      </w:pPr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1996</w:t>
      </w:r>
      <w:r w:rsidRPr="009653D0"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 </w:t>
      </w:r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Notre justification vient de la grâce de Dieu. La grâce est la </w:t>
      </w:r>
      <w:r w:rsidRPr="009653D0"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faveur, </w:t>
      </w:r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le </w:t>
      </w:r>
      <w:r w:rsidRPr="009653D0"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secours gratuit</w:t>
      </w:r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 que Dieu nous donne pour répondre à son appel : devenir enfants de Dieu (cf. </w:t>
      </w:r>
      <w:proofErr w:type="spellStart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Jn</w:t>
      </w:r>
      <w:proofErr w:type="spellEnd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1, 12-18), fils adoptifs (cf. </w:t>
      </w:r>
      <w:proofErr w:type="spellStart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Rm</w:t>
      </w:r>
      <w:proofErr w:type="spellEnd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8, 14-17), participants de la divine nature (cf. 2 P 1, 3-4), de la vie éternelle (cf. </w:t>
      </w:r>
      <w:proofErr w:type="spellStart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>Jn</w:t>
      </w:r>
      <w:proofErr w:type="spellEnd"/>
      <w:r w:rsidRPr="009653D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17, 3).</w:t>
      </w:r>
      <w:bookmarkEnd w:id="0"/>
    </w:p>
    <w:sectPr w:rsidR="009909B6" w:rsidRPr="009653D0" w:rsidSect="00990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4BD3"/>
    <w:multiLevelType w:val="hybridMultilevel"/>
    <w:tmpl w:val="3886F9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B6"/>
    <w:rsid w:val="003831CC"/>
    <w:rsid w:val="008049B7"/>
    <w:rsid w:val="009653D0"/>
    <w:rsid w:val="009909B6"/>
    <w:rsid w:val="00AD300C"/>
    <w:rsid w:val="00B6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16C2"/>
  <w15:docId w15:val="{D2FD9A39-8927-411E-B3AE-EAFEE76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tentverset">
    <w:name w:val="content_verset"/>
    <w:basedOn w:val="Policepardfaut"/>
    <w:rsid w:val="009909B6"/>
  </w:style>
  <w:style w:type="character" w:customStyle="1" w:styleId="numeroverset">
    <w:name w:val="numero_verset"/>
    <w:basedOn w:val="Policepardfaut"/>
    <w:rsid w:val="009909B6"/>
  </w:style>
  <w:style w:type="table" w:styleId="Grilledutableau">
    <w:name w:val="Table Grid"/>
    <w:basedOn w:val="TableauNormal"/>
    <w:uiPriority w:val="59"/>
    <w:rsid w:val="009909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53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Marlena Schouwey</cp:lastModifiedBy>
  <cp:revision>2</cp:revision>
  <cp:lastPrinted>2016-01-06T15:45:00Z</cp:lastPrinted>
  <dcterms:created xsi:type="dcterms:W3CDTF">2021-01-12T14:17:00Z</dcterms:created>
  <dcterms:modified xsi:type="dcterms:W3CDTF">2021-01-12T14:17:00Z</dcterms:modified>
</cp:coreProperties>
</file>