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C107B" w14:textId="77777777" w:rsidR="005B748E" w:rsidRPr="00651262" w:rsidRDefault="005B748E" w:rsidP="005B748E">
      <w:pPr>
        <w:spacing w:after="0" w:line="240" w:lineRule="auto"/>
        <w:rPr>
          <w:rFonts w:ascii="Georgia" w:eastAsia="Times New Roman" w:hAnsi="Georgia" w:cs="Times New Roman"/>
          <w:b/>
          <w:sz w:val="24"/>
          <w:szCs w:val="24"/>
          <w:lang w:eastAsia="fr-CH"/>
        </w:rPr>
      </w:pPr>
      <w:r w:rsidRPr="00651262">
        <w:rPr>
          <w:rFonts w:ascii="Georgia" w:eastAsia="Times New Roman" w:hAnsi="Georgia" w:cs="Times New Roman"/>
          <w:b/>
          <w:sz w:val="24"/>
          <w:szCs w:val="24"/>
          <w:lang w:eastAsia="fr-CH"/>
        </w:rPr>
        <w:t>Evangile selon saint Matthieu</w:t>
      </w:r>
    </w:p>
    <w:p w14:paraId="30613260" w14:textId="77777777" w:rsidR="005B748E" w:rsidRPr="00651262" w:rsidRDefault="005B748E" w:rsidP="005B748E">
      <w:pPr>
        <w:spacing w:after="0" w:line="240" w:lineRule="auto"/>
        <w:rPr>
          <w:rFonts w:ascii="Georgia" w:eastAsia="Times New Roman" w:hAnsi="Georgia" w:cs="Times New Roman"/>
          <w:b/>
          <w:sz w:val="24"/>
          <w:szCs w:val="24"/>
          <w:lang w:eastAsia="fr-CH"/>
        </w:rPr>
      </w:pPr>
    </w:p>
    <w:p w14:paraId="1BD651BD"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01 Jésus était né à Bethléem en Judée, au temps du roi Hérode le Grand. Or, voici que des mages venus d’Orient arrivèrent à Jérusalem </w:t>
      </w:r>
    </w:p>
    <w:p w14:paraId="080A705E"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02 et demandèrent : « Où est le roi des Juifs qui vient de naître ? Nous avons vu son étoile à l’orient et nous sommes venus nous prosterner devant lui. » </w:t>
      </w:r>
    </w:p>
    <w:p w14:paraId="13857C2D"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03 En apprenant cela, le roi Hérode fut bouleversé, et tout Jérusalem avec lui. </w:t>
      </w:r>
    </w:p>
    <w:p w14:paraId="02F97C67"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04 Il réunit tous les grands prêtres et les scribes du peuple, pour leur demander où devait naître le Christ. </w:t>
      </w:r>
    </w:p>
    <w:p w14:paraId="38263BC8"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05 Ils lui répondirent : « À Bethléem en Judée, car voici ce qui est écrit par le prophète : </w:t>
      </w:r>
    </w:p>
    <w:p w14:paraId="2DD0429F"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06 Et toi, Bethléem, terre de Juda, tu n’es certes pas le dernier parmi les chefs-lieux de Juda, car de toi sortira un chef, qui sera le berger de mon peuple Israël. » </w:t>
      </w:r>
    </w:p>
    <w:p w14:paraId="2998ABE0"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07 Alors Hérode convoqua les mages en secret pour leur faire préciser à quelle date l’étoile était apparue ; </w:t>
      </w:r>
    </w:p>
    <w:p w14:paraId="6106693E"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08 puis il les envoya à Bethléem, en leur disant : « </w:t>
      </w:r>
      <w:proofErr w:type="spellStart"/>
      <w:r w:rsidRPr="00651262">
        <w:rPr>
          <w:rFonts w:ascii="Georgia" w:eastAsia="Times New Roman" w:hAnsi="Georgia" w:cs="Times New Roman"/>
          <w:sz w:val="24"/>
          <w:szCs w:val="24"/>
          <w:lang w:eastAsia="fr-CH"/>
        </w:rPr>
        <w:t>Allez vous</w:t>
      </w:r>
      <w:proofErr w:type="spellEnd"/>
      <w:r w:rsidRPr="00651262">
        <w:rPr>
          <w:rFonts w:ascii="Georgia" w:eastAsia="Times New Roman" w:hAnsi="Georgia" w:cs="Times New Roman"/>
          <w:sz w:val="24"/>
          <w:szCs w:val="24"/>
          <w:lang w:eastAsia="fr-CH"/>
        </w:rPr>
        <w:t xml:space="preserve"> renseigner avec précision sur l’enfant. Et quand vous l’aurez trouvé, venez me l’annoncer pour que j’aille, moi aussi, me prosterner devant lui. » </w:t>
      </w:r>
    </w:p>
    <w:p w14:paraId="4E006A8E"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09 Après avoir entendu le roi, ils partirent. Et voici que l’étoile qu’ils avaient vue à l’orient les précédait, jusqu’à ce qu’elle vienne s’arrêter au-dessus de l’endroit où se trouvait l’enfant. </w:t>
      </w:r>
    </w:p>
    <w:p w14:paraId="0104AD2B"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10 Quand ils virent l’étoile, ils se réjouirent d’une très grande joie. </w:t>
      </w:r>
    </w:p>
    <w:p w14:paraId="2B740D75" w14:textId="77777777" w:rsidR="005B748E" w:rsidRPr="00651262" w:rsidRDefault="005B748E" w:rsidP="005B748E">
      <w:p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11 Ils entrèrent dans la maison, ils virent l’enfant avec Marie sa mère ; et, tombant à ses pieds, ils se prosternèrent devant lui. Ils ouvrirent leurs coffrets, et lui offrirent leurs présents : de l’or, de l’encens et de la myrrhe. </w:t>
      </w:r>
    </w:p>
    <w:p w14:paraId="1E351C3F" w14:textId="77777777" w:rsidR="005B748E" w:rsidRPr="00651262" w:rsidRDefault="005B748E" w:rsidP="005B748E">
      <w:pPr>
        <w:spacing w:after="0" w:line="240" w:lineRule="auto"/>
        <w:rPr>
          <w:rFonts w:ascii="Georgia" w:eastAsia="Times New Roman" w:hAnsi="Georgia" w:cs="Times New Roman"/>
          <w:sz w:val="24"/>
          <w:szCs w:val="24"/>
          <w:lang w:eastAsia="fr-CH"/>
        </w:rPr>
      </w:pPr>
    </w:p>
    <w:p w14:paraId="76895A96" w14:textId="77777777" w:rsidR="005B748E" w:rsidRPr="00651262" w:rsidRDefault="005B748E" w:rsidP="005B748E">
      <w:pPr>
        <w:pStyle w:val="Paragraphedeliste"/>
        <w:numPr>
          <w:ilvl w:val="0"/>
          <w:numId w:val="1"/>
        </w:num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Je lis le texte.</w:t>
      </w:r>
    </w:p>
    <w:p w14:paraId="0E652FCF" w14:textId="77777777" w:rsidR="005B748E" w:rsidRPr="00651262" w:rsidRDefault="005B748E" w:rsidP="005B748E">
      <w:pPr>
        <w:pStyle w:val="Paragraphedeliste"/>
        <w:numPr>
          <w:ilvl w:val="0"/>
          <w:numId w:val="1"/>
        </w:num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Je note ce qui me surprend/interroge.</w:t>
      </w:r>
    </w:p>
    <w:p w14:paraId="5AE7C514" w14:textId="77777777" w:rsidR="005B748E" w:rsidRPr="00651262" w:rsidRDefault="005B748E" w:rsidP="005B748E">
      <w:pPr>
        <w:pStyle w:val="Paragraphedeliste"/>
        <w:numPr>
          <w:ilvl w:val="0"/>
          <w:numId w:val="1"/>
        </w:num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Je souligne ou je note dans le tableau les catégories de mots mentionnés.</w:t>
      </w:r>
    </w:p>
    <w:p w14:paraId="088088E7" w14:textId="77777777" w:rsidR="005B748E" w:rsidRPr="00651262" w:rsidRDefault="005B748E" w:rsidP="005B748E">
      <w:pPr>
        <w:pStyle w:val="Paragraphedeliste"/>
        <w:numPr>
          <w:ilvl w:val="0"/>
          <w:numId w:val="1"/>
        </w:num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Je situe le texte dans son contexte biblique.</w:t>
      </w:r>
    </w:p>
    <w:p w14:paraId="4610CA54" w14:textId="77777777" w:rsidR="005B748E" w:rsidRPr="00651262" w:rsidRDefault="005B748E" w:rsidP="00E23F7C">
      <w:pPr>
        <w:pStyle w:val="Paragraphedeliste"/>
        <w:numPr>
          <w:ilvl w:val="0"/>
          <w:numId w:val="1"/>
        </w:numPr>
        <w:spacing w:after="0" w:line="240" w:lineRule="auto"/>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 xml:space="preserve">Je lis les passages du CEC : </w:t>
      </w:r>
      <w:proofErr w:type="spellStart"/>
      <w:r w:rsidR="00651262" w:rsidRPr="00651262">
        <w:rPr>
          <w:rFonts w:ascii="Georgia" w:eastAsia="Times New Roman" w:hAnsi="Georgia" w:cs="Times New Roman"/>
          <w:sz w:val="24"/>
          <w:szCs w:val="24"/>
          <w:lang w:eastAsia="fr-CH"/>
        </w:rPr>
        <w:t>ci dessous</w:t>
      </w:r>
      <w:proofErr w:type="spellEnd"/>
    </w:p>
    <w:p w14:paraId="0D2ECC24" w14:textId="77777777" w:rsidR="005B748E" w:rsidRPr="00651262" w:rsidRDefault="005B748E" w:rsidP="005B748E">
      <w:pPr>
        <w:spacing w:after="0" w:line="240" w:lineRule="auto"/>
        <w:rPr>
          <w:rFonts w:ascii="Georgia" w:eastAsia="Times New Roman" w:hAnsi="Georgia" w:cs="Times New Roman"/>
          <w:sz w:val="24"/>
          <w:szCs w:val="24"/>
          <w:lang w:eastAsia="fr-CH"/>
        </w:rPr>
      </w:pPr>
    </w:p>
    <w:tbl>
      <w:tblPr>
        <w:tblStyle w:val="Grilledutableau"/>
        <w:tblW w:w="0" w:type="auto"/>
        <w:tblInd w:w="0" w:type="dxa"/>
        <w:tblLayout w:type="fixed"/>
        <w:tblLook w:val="04A0" w:firstRow="1" w:lastRow="0" w:firstColumn="1" w:lastColumn="0" w:noHBand="0" w:noVBand="1"/>
      </w:tblPr>
      <w:tblGrid>
        <w:gridCol w:w="1809"/>
        <w:gridCol w:w="2694"/>
        <w:gridCol w:w="1984"/>
        <w:gridCol w:w="1985"/>
        <w:gridCol w:w="2835"/>
        <w:gridCol w:w="3543"/>
      </w:tblGrid>
      <w:tr w:rsidR="005B748E" w:rsidRPr="00651262" w14:paraId="0B0C7CF6" w14:textId="77777777" w:rsidTr="00F55FBC">
        <w:tc>
          <w:tcPr>
            <w:tcW w:w="1809" w:type="dxa"/>
            <w:tcBorders>
              <w:top w:val="single" w:sz="4" w:space="0" w:color="auto"/>
              <w:left w:val="single" w:sz="4" w:space="0" w:color="auto"/>
              <w:bottom w:val="single" w:sz="4" w:space="0" w:color="auto"/>
              <w:right w:val="single" w:sz="4" w:space="0" w:color="auto"/>
            </w:tcBorders>
            <w:hideMark/>
          </w:tcPr>
          <w:p w14:paraId="575A2977"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Noms de Dieu</w:t>
            </w:r>
          </w:p>
        </w:tc>
        <w:tc>
          <w:tcPr>
            <w:tcW w:w="2694" w:type="dxa"/>
            <w:tcBorders>
              <w:top w:val="single" w:sz="4" w:space="0" w:color="auto"/>
              <w:left w:val="single" w:sz="4" w:space="0" w:color="auto"/>
              <w:bottom w:val="single" w:sz="4" w:space="0" w:color="auto"/>
              <w:right w:val="single" w:sz="4" w:space="0" w:color="auto"/>
            </w:tcBorders>
            <w:hideMark/>
          </w:tcPr>
          <w:p w14:paraId="38F59066"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Noms de personnes</w:t>
            </w:r>
          </w:p>
        </w:tc>
        <w:tc>
          <w:tcPr>
            <w:tcW w:w="1984" w:type="dxa"/>
            <w:tcBorders>
              <w:top w:val="single" w:sz="4" w:space="0" w:color="auto"/>
              <w:left w:val="single" w:sz="4" w:space="0" w:color="auto"/>
              <w:bottom w:val="single" w:sz="4" w:space="0" w:color="auto"/>
              <w:right w:val="single" w:sz="4" w:space="0" w:color="auto"/>
            </w:tcBorders>
            <w:hideMark/>
          </w:tcPr>
          <w:p w14:paraId="3FB16E8C"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Verbes actifs</w:t>
            </w:r>
          </w:p>
          <w:p w14:paraId="14EAD45E"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Temps utilisés</w:t>
            </w:r>
          </w:p>
        </w:tc>
        <w:tc>
          <w:tcPr>
            <w:tcW w:w="1985" w:type="dxa"/>
            <w:tcBorders>
              <w:top w:val="single" w:sz="4" w:space="0" w:color="auto"/>
              <w:left w:val="single" w:sz="4" w:space="0" w:color="auto"/>
              <w:bottom w:val="single" w:sz="4" w:space="0" w:color="auto"/>
              <w:right w:val="single" w:sz="4" w:space="0" w:color="auto"/>
            </w:tcBorders>
            <w:hideMark/>
          </w:tcPr>
          <w:p w14:paraId="0FE1D605"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Indications de lieux, temps</w:t>
            </w:r>
          </w:p>
        </w:tc>
        <w:tc>
          <w:tcPr>
            <w:tcW w:w="2835" w:type="dxa"/>
            <w:tcBorders>
              <w:top w:val="single" w:sz="4" w:space="0" w:color="auto"/>
              <w:left w:val="single" w:sz="4" w:space="0" w:color="auto"/>
              <w:bottom w:val="single" w:sz="4" w:space="0" w:color="auto"/>
              <w:right w:val="single" w:sz="4" w:space="0" w:color="auto"/>
            </w:tcBorders>
            <w:hideMark/>
          </w:tcPr>
          <w:p w14:paraId="65DC364F"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Oppositions</w:t>
            </w:r>
          </w:p>
          <w:p w14:paraId="4C1C7341"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Comparaisons</w:t>
            </w:r>
          </w:p>
          <w:p w14:paraId="7A7E566F"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Répétitions</w:t>
            </w:r>
          </w:p>
        </w:tc>
        <w:tc>
          <w:tcPr>
            <w:tcW w:w="3543" w:type="dxa"/>
            <w:tcBorders>
              <w:top w:val="single" w:sz="4" w:space="0" w:color="auto"/>
              <w:left w:val="single" w:sz="4" w:space="0" w:color="auto"/>
              <w:bottom w:val="single" w:sz="4" w:space="0" w:color="auto"/>
              <w:right w:val="single" w:sz="4" w:space="0" w:color="auto"/>
            </w:tcBorders>
            <w:hideMark/>
          </w:tcPr>
          <w:p w14:paraId="5BC6C7A6"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Thèmes</w:t>
            </w:r>
          </w:p>
          <w:p w14:paraId="73E617B9"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Familles de mots</w:t>
            </w:r>
          </w:p>
          <w:p w14:paraId="5D290E0A" w14:textId="77777777" w:rsidR="005B748E" w:rsidRPr="00651262" w:rsidRDefault="005B748E" w:rsidP="00F55FBC">
            <w:pPr>
              <w:rPr>
                <w:rFonts w:ascii="Georgia" w:eastAsia="Times New Roman" w:hAnsi="Georgia" w:cs="Times New Roman"/>
                <w:sz w:val="24"/>
                <w:szCs w:val="24"/>
                <w:lang w:eastAsia="fr-CH"/>
              </w:rPr>
            </w:pPr>
            <w:r w:rsidRPr="00651262">
              <w:rPr>
                <w:rFonts w:ascii="Georgia" w:eastAsia="Times New Roman" w:hAnsi="Georgia" w:cs="Times New Roman"/>
                <w:sz w:val="24"/>
                <w:szCs w:val="24"/>
                <w:lang w:eastAsia="fr-CH"/>
              </w:rPr>
              <w:t>Mots</w:t>
            </w:r>
            <w:proofErr w:type="gramStart"/>
            <w:r w:rsidRPr="00651262">
              <w:rPr>
                <w:rFonts w:ascii="Georgia" w:eastAsia="Times New Roman" w:hAnsi="Georgia" w:cs="Times New Roman"/>
                <w:sz w:val="24"/>
                <w:szCs w:val="24"/>
                <w:lang w:eastAsia="fr-CH"/>
              </w:rPr>
              <w:t> »clé</w:t>
            </w:r>
            <w:proofErr w:type="gramEnd"/>
            <w:r w:rsidRPr="00651262">
              <w:rPr>
                <w:rFonts w:ascii="Georgia" w:eastAsia="Times New Roman" w:hAnsi="Georgia" w:cs="Times New Roman"/>
                <w:sz w:val="24"/>
                <w:szCs w:val="24"/>
                <w:lang w:eastAsia="fr-CH"/>
              </w:rPr>
              <w:t> »</w:t>
            </w:r>
          </w:p>
        </w:tc>
      </w:tr>
      <w:tr w:rsidR="005B748E" w:rsidRPr="00651262" w14:paraId="41268AE9" w14:textId="77777777" w:rsidTr="00F55FBC">
        <w:tc>
          <w:tcPr>
            <w:tcW w:w="1809" w:type="dxa"/>
            <w:tcBorders>
              <w:top w:val="single" w:sz="4" w:space="0" w:color="auto"/>
              <w:left w:val="single" w:sz="4" w:space="0" w:color="auto"/>
              <w:bottom w:val="single" w:sz="4" w:space="0" w:color="auto"/>
              <w:right w:val="single" w:sz="4" w:space="0" w:color="auto"/>
            </w:tcBorders>
          </w:tcPr>
          <w:p w14:paraId="7922AF59" w14:textId="77777777" w:rsidR="005B748E" w:rsidRPr="00651262" w:rsidRDefault="005B748E" w:rsidP="00F55FBC">
            <w:pPr>
              <w:rPr>
                <w:rFonts w:ascii="Georgia" w:eastAsia="Times New Roman" w:hAnsi="Georgia" w:cs="Times New Roman"/>
                <w:sz w:val="24"/>
                <w:szCs w:val="24"/>
                <w:lang w:eastAsia="fr-CH"/>
              </w:rPr>
            </w:pPr>
          </w:p>
          <w:p w14:paraId="42ADDC33" w14:textId="77777777" w:rsidR="005B748E" w:rsidRPr="00651262" w:rsidRDefault="005B748E" w:rsidP="00F55FBC">
            <w:pPr>
              <w:rPr>
                <w:rFonts w:ascii="Georgia" w:eastAsia="Times New Roman" w:hAnsi="Georgia" w:cs="Times New Roman"/>
                <w:sz w:val="24"/>
                <w:szCs w:val="24"/>
                <w:lang w:eastAsia="fr-CH"/>
              </w:rPr>
            </w:pPr>
          </w:p>
          <w:p w14:paraId="22E5558A" w14:textId="77777777" w:rsidR="005B748E" w:rsidRPr="00651262" w:rsidRDefault="005B748E" w:rsidP="00F55FBC">
            <w:pPr>
              <w:rPr>
                <w:rFonts w:ascii="Georgia" w:eastAsia="Times New Roman" w:hAnsi="Georgia" w:cs="Times New Roman"/>
                <w:sz w:val="24"/>
                <w:szCs w:val="24"/>
                <w:lang w:eastAsia="fr-CH"/>
              </w:rPr>
            </w:pPr>
          </w:p>
          <w:p w14:paraId="530F4DC6" w14:textId="77777777" w:rsidR="005B748E" w:rsidRPr="00651262" w:rsidRDefault="005B748E" w:rsidP="00F55FBC">
            <w:pPr>
              <w:rPr>
                <w:rFonts w:ascii="Georgia" w:eastAsia="Times New Roman" w:hAnsi="Georgia" w:cs="Times New Roman"/>
                <w:sz w:val="24"/>
                <w:szCs w:val="24"/>
                <w:lang w:eastAsia="fr-CH"/>
              </w:rPr>
            </w:pPr>
          </w:p>
          <w:p w14:paraId="0D277914" w14:textId="77777777" w:rsidR="005B748E" w:rsidRDefault="005B748E" w:rsidP="00F55FBC">
            <w:pPr>
              <w:rPr>
                <w:rFonts w:ascii="Georgia" w:eastAsia="Times New Roman" w:hAnsi="Georgia" w:cs="Times New Roman"/>
                <w:sz w:val="24"/>
                <w:szCs w:val="24"/>
                <w:lang w:eastAsia="fr-CH"/>
              </w:rPr>
            </w:pPr>
          </w:p>
          <w:p w14:paraId="3E5CA711" w14:textId="77777777" w:rsidR="00651262" w:rsidRDefault="00651262" w:rsidP="00F55FBC">
            <w:pPr>
              <w:rPr>
                <w:rFonts w:ascii="Georgia" w:eastAsia="Times New Roman" w:hAnsi="Georgia" w:cs="Times New Roman"/>
                <w:sz w:val="24"/>
                <w:szCs w:val="24"/>
                <w:lang w:eastAsia="fr-CH"/>
              </w:rPr>
            </w:pPr>
          </w:p>
          <w:p w14:paraId="038216DD" w14:textId="77777777" w:rsidR="00651262" w:rsidRDefault="00651262" w:rsidP="00F55FBC">
            <w:pPr>
              <w:rPr>
                <w:rFonts w:ascii="Georgia" w:eastAsia="Times New Roman" w:hAnsi="Georgia" w:cs="Times New Roman"/>
                <w:sz w:val="24"/>
                <w:szCs w:val="24"/>
                <w:lang w:eastAsia="fr-CH"/>
              </w:rPr>
            </w:pPr>
          </w:p>
          <w:p w14:paraId="30B3CE0A" w14:textId="77777777" w:rsidR="00651262" w:rsidRPr="00651262" w:rsidRDefault="00651262" w:rsidP="00F55FBC">
            <w:pPr>
              <w:rPr>
                <w:rFonts w:ascii="Georgia" w:eastAsia="Times New Roman" w:hAnsi="Georgia" w:cs="Times New Roman"/>
                <w:sz w:val="24"/>
                <w:szCs w:val="24"/>
                <w:lang w:eastAsia="fr-CH"/>
              </w:rPr>
            </w:pPr>
          </w:p>
          <w:p w14:paraId="7CF4207C" w14:textId="77777777" w:rsidR="005B748E" w:rsidRPr="00651262" w:rsidRDefault="005B748E" w:rsidP="005B748E">
            <w:pPr>
              <w:rPr>
                <w:rFonts w:ascii="Georgia" w:eastAsia="Times New Roman" w:hAnsi="Georgia" w:cs="Times New Roman"/>
                <w:sz w:val="24"/>
                <w:szCs w:val="24"/>
                <w:lang w:eastAsia="fr-CH"/>
              </w:rPr>
            </w:pPr>
          </w:p>
        </w:tc>
        <w:tc>
          <w:tcPr>
            <w:tcW w:w="2694" w:type="dxa"/>
            <w:tcBorders>
              <w:top w:val="single" w:sz="4" w:space="0" w:color="auto"/>
              <w:left w:val="single" w:sz="4" w:space="0" w:color="auto"/>
              <w:bottom w:val="single" w:sz="4" w:space="0" w:color="auto"/>
              <w:right w:val="single" w:sz="4" w:space="0" w:color="auto"/>
            </w:tcBorders>
          </w:tcPr>
          <w:p w14:paraId="3C8F207F" w14:textId="77777777" w:rsidR="005B748E" w:rsidRPr="00651262" w:rsidRDefault="005B748E" w:rsidP="00F55FBC">
            <w:pPr>
              <w:rPr>
                <w:rFonts w:ascii="Georgia" w:eastAsia="Times New Roman" w:hAnsi="Georgia" w:cs="Times New Roman"/>
                <w:sz w:val="24"/>
                <w:szCs w:val="24"/>
                <w:lang w:eastAsia="fr-CH"/>
              </w:rPr>
            </w:pPr>
          </w:p>
        </w:tc>
        <w:tc>
          <w:tcPr>
            <w:tcW w:w="1984" w:type="dxa"/>
            <w:tcBorders>
              <w:top w:val="single" w:sz="4" w:space="0" w:color="auto"/>
              <w:left w:val="single" w:sz="4" w:space="0" w:color="auto"/>
              <w:bottom w:val="single" w:sz="4" w:space="0" w:color="auto"/>
              <w:right w:val="single" w:sz="4" w:space="0" w:color="auto"/>
            </w:tcBorders>
          </w:tcPr>
          <w:p w14:paraId="59DE6DE5" w14:textId="77777777" w:rsidR="005B748E" w:rsidRPr="00651262" w:rsidRDefault="005B748E" w:rsidP="00F55FBC">
            <w:pPr>
              <w:rPr>
                <w:rFonts w:ascii="Georgia" w:eastAsia="Times New Roman" w:hAnsi="Georgia" w:cs="Times New Roman"/>
                <w:sz w:val="24"/>
                <w:szCs w:val="24"/>
                <w:lang w:eastAsia="fr-CH"/>
              </w:rPr>
            </w:pPr>
          </w:p>
        </w:tc>
        <w:tc>
          <w:tcPr>
            <w:tcW w:w="1985" w:type="dxa"/>
            <w:tcBorders>
              <w:top w:val="single" w:sz="4" w:space="0" w:color="auto"/>
              <w:left w:val="single" w:sz="4" w:space="0" w:color="auto"/>
              <w:bottom w:val="single" w:sz="4" w:space="0" w:color="auto"/>
              <w:right w:val="single" w:sz="4" w:space="0" w:color="auto"/>
            </w:tcBorders>
          </w:tcPr>
          <w:p w14:paraId="452AC827" w14:textId="77777777" w:rsidR="005B748E" w:rsidRPr="00651262" w:rsidRDefault="005B748E" w:rsidP="00F55FBC">
            <w:pPr>
              <w:rPr>
                <w:rFonts w:ascii="Georgia" w:eastAsia="Times New Roman" w:hAnsi="Georgia" w:cs="Times New Roman"/>
                <w:sz w:val="24"/>
                <w:szCs w:val="24"/>
                <w:lang w:eastAsia="fr-CH"/>
              </w:rPr>
            </w:pPr>
          </w:p>
        </w:tc>
        <w:tc>
          <w:tcPr>
            <w:tcW w:w="2835" w:type="dxa"/>
            <w:tcBorders>
              <w:top w:val="single" w:sz="4" w:space="0" w:color="auto"/>
              <w:left w:val="single" w:sz="4" w:space="0" w:color="auto"/>
              <w:bottom w:val="single" w:sz="4" w:space="0" w:color="auto"/>
              <w:right w:val="single" w:sz="4" w:space="0" w:color="auto"/>
            </w:tcBorders>
          </w:tcPr>
          <w:p w14:paraId="154D5178" w14:textId="77777777" w:rsidR="005B748E" w:rsidRPr="00651262" w:rsidRDefault="005B748E" w:rsidP="00F55FBC">
            <w:pPr>
              <w:rPr>
                <w:rFonts w:ascii="Georgia" w:eastAsia="Times New Roman" w:hAnsi="Georgia" w:cs="Times New Roman"/>
                <w:sz w:val="24"/>
                <w:szCs w:val="24"/>
                <w:lang w:eastAsia="fr-CH"/>
              </w:rPr>
            </w:pPr>
          </w:p>
        </w:tc>
        <w:tc>
          <w:tcPr>
            <w:tcW w:w="3543" w:type="dxa"/>
            <w:tcBorders>
              <w:top w:val="single" w:sz="4" w:space="0" w:color="auto"/>
              <w:left w:val="single" w:sz="4" w:space="0" w:color="auto"/>
              <w:bottom w:val="single" w:sz="4" w:space="0" w:color="auto"/>
              <w:right w:val="single" w:sz="4" w:space="0" w:color="auto"/>
            </w:tcBorders>
          </w:tcPr>
          <w:p w14:paraId="523B1F24" w14:textId="77777777" w:rsidR="005B748E" w:rsidRPr="00651262" w:rsidRDefault="005B748E" w:rsidP="00F55FBC">
            <w:pPr>
              <w:rPr>
                <w:rFonts w:ascii="Georgia" w:eastAsia="Times New Roman" w:hAnsi="Georgia" w:cs="Times New Roman"/>
                <w:sz w:val="24"/>
                <w:szCs w:val="24"/>
                <w:lang w:eastAsia="fr-CH"/>
              </w:rPr>
            </w:pPr>
          </w:p>
        </w:tc>
      </w:tr>
    </w:tbl>
    <w:p w14:paraId="7EABD685" w14:textId="77777777" w:rsidR="00651262" w:rsidRPr="00651262" w:rsidRDefault="00651262" w:rsidP="00651262">
      <w:pPr>
        <w:pStyle w:val="NormalWeb"/>
        <w:rPr>
          <w:rFonts w:ascii="Georgia" w:hAnsi="Georgia"/>
          <w:b/>
          <w:bCs/>
          <w:color w:val="000000"/>
        </w:rPr>
      </w:pPr>
      <w:r w:rsidRPr="00651262">
        <w:rPr>
          <w:rFonts w:ascii="Georgia" w:hAnsi="Georgia"/>
          <w:b/>
          <w:bCs/>
          <w:color w:val="000000"/>
        </w:rPr>
        <w:lastRenderedPageBreak/>
        <w:t>Le désir de Dieu</w:t>
      </w:r>
    </w:p>
    <w:p w14:paraId="2151B044" w14:textId="77777777" w:rsidR="00651262" w:rsidRPr="00651262" w:rsidRDefault="00651262" w:rsidP="00651262">
      <w:pPr>
        <w:pStyle w:val="NormalWeb"/>
        <w:rPr>
          <w:rFonts w:ascii="Georgia" w:hAnsi="Georgia"/>
          <w:color w:val="000000"/>
        </w:rPr>
      </w:pPr>
      <w:r w:rsidRPr="00651262">
        <w:rPr>
          <w:rFonts w:ascii="Georgia" w:hAnsi="Georgia"/>
          <w:color w:val="000000"/>
        </w:rPr>
        <w:t>27</w:t>
      </w:r>
      <w:r w:rsidRPr="00651262">
        <w:rPr>
          <w:rFonts w:ascii="Georgia" w:hAnsi="Georgia"/>
          <w:i/>
          <w:iCs/>
          <w:color w:val="000000"/>
        </w:rPr>
        <w:t> </w:t>
      </w:r>
      <w:r w:rsidRPr="00651262">
        <w:rPr>
          <w:rFonts w:ascii="Georgia" w:hAnsi="Georgia"/>
          <w:color w:val="000000"/>
        </w:rPr>
        <w:t xml:space="preserve">Le désir de Dieu est inscrit dans le cœur de l’homme, car l’homme est créé par Dieu et pour </w:t>
      </w:r>
      <w:proofErr w:type="gramStart"/>
      <w:r w:rsidRPr="00651262">
        <w:rPr>
          <w:rFonts w:ascii="Georgia" w:hAnsi="Georgia"/>
          <w:color w:val="000000"/>
        </w:rPr>
        <w:t>Dieu;</w:t>
      </w:r>
      <w:proofErr w:type="gramEnd"/>
      <w:r w:rsidRPr="00651262">
        <w:rPr>
          <w:rFonts w:ascii="Georgia" w:hAnsi="Georgia"/>
          <w:color w:val="000000"/>
        </w:rPr>
        <w:t xml:space="preserve"> Dieu ne cesse d’attirer l’homme vers Lui, et ce n’est qu’en Dieu que l’homme trouvera la vérité et le bonheur qu’il ne cesse de chercher:</w:t>
      </w:r>
    </w:p>
    <w:p w14:paraId="55E3F599" w14:textId="77777777" w:rsidR="00651262" w:rsidRPr="00651262" w:rsidRDefault="00651262" w:rsidP="00651262">
      <w:pPr>
        <w:pStyle w:val="NormalWeb"/>
        <w:ind w:left="1440"/>
        <w:rPr>
          <w:rFonts w:ascii="Georgia" w:hAnsi="Georgia"/>
          <w:color w:val="000000"/>
        </w:rPr>
      </w:pPr>
      <w:r w:rsidRPr="00651262">
        <w:rPr>
          <w:rFonts w:ascii="Georgia" w:hAnsi="Georgia"/>
          <w:color w:val="000000"/>
        </w:rPr>
        <w:t>L’aspect le plus sublime de la dignité humaine se trouve dans cette vocation de l’homme à communier avec Dieu. Cette invitation que Dieu adresse à l’homme de dialoguer avec Lui commence avec l’existence humaine. Car si l’homme existe, c’est que Dieu l’a créé par Amour et, par Amour, ne cesse de lui donner l’être ; et l’homme ne vit pleinement selon la vérité que s’il reconnaît librement cet Amour et s’abandonne à son Créateur (GS 19, § 1).</w:t>
      </w:r>
    </w:p>
    <w:p w14:paraId="2551C0B5" w14:textId="77777777" w:rsidR="00651262" w:rsidRPr="00651262" w:rsidRDefault="00651262" w:rsidP="00651262">
      <w:pPr>
        <w:pStyle w:val="NormalWeb"/>
        <w:rPr>
          <w:rFonts w:ascii="Georgia" w:hAnsi="Georgia"/>
          <w:color w:val="000000"/>
        </w:rPr>
      </w:pPr>
      <w:r w:rsidRPr="00651262">
        <w:rPr>
          <w:rFonts w:ascii="Georgia" w:hAnsi="Georgia"/>
          <w:color w:val="000000"/>
        </w:rPr>
        <w:t>28</w:t>
      </w:r>
      <w:r w:rsidRPr="00651262">
        <w:rPr>
          <w:rFonts w:ascii="Georgia" w:hAnsi="Georgia"/>
          <w:i/>
          <w:iCs/>
          <w:color w:val="000000"/>
        </w:rPr>
        <w:t> </w:t>
      </w:r>
      <w:r w:rsidRPr="00651262">
        <w:rPr>
          <w:rFonts w:ascii="Georgia" w:hAnsi="Georgia"/>
          <w:color w:val="000000"/>
        </w:rPr>
        <w:t xml:space="preserve">De multiples manières, dans leur histoire, et jusqu’à aujourd’hui, les hommes ont donné expression à leur quête de Dieu par </w:t>
      </w:r>
      <w:proofErr w:type="gramStart"/>
      <w:r w:rsidRPr="00651262">
        <w:rPr>
          <w:rFonts w:ascii="Georgia" w:hAnsi="Georgia"/>
          <w:color w:val="000000"/>
        </w:rPr>
        <w:t>leur croyances</w:t>
      </w:r>
      <w:proofErr w:type="gramEnd"/>
      <w:r w:rsidRPr="00651262">
        <w:rPr>
          <w:rFonts w:ascii="Georgia" w:hAnsi="Georgia"/>
          <w:color w:val="000000"/>
        </w:rPr>
        <w:t xml:space="preserve"> et leurs comportements religieux (prières, sacrifices, cultes, méditations, etc.). Malgré les ambiguïtés qu’elles peuvent comporter, ces formes d’expression sont si universelles que l’on peut appeler l’homme </w:t>
      </w:r>
      <w:r w:rsidRPr="00651262">
        <w:rPr>
          <w:rFonts w:ascii="Georgia" w:hAnsi="Georgia"/>
          <w:i/>
          <w:iCs/>
          <w:color w:val="000000"/>
        </w:rPr>
        <w:t>un être religieux</w:t>
      </w:r>
      <w:r w:rsidRPr="00651262">
        <w:rPr>
          <w:rFonts w:ascii="Georgia" w:hAnsi="Georgia"/>
          <w:color w:val="000000"/>
        </w:rPr>
        <w:t> :</w:t>
      </w:r>
    </w:p>
    <w:p w14:paraId="4C5A963A" w14:textId="77777777" w:rsidR="00651262" w:rsidRPr="00651262" w:rsidRDefault="00651262" w:rsidP="00651262">
      <w:pPr>
        <w:pStyle w:val="NormalWeb"/>
        <w:ind w:left="1440"/>
        <w:rPr>
          <w:rFonts w:ascii="Georgia" w:hAnsi="Georgia"/>
          <w:color w:val="000000"/>
        </w:rPr>
      </w:pPr>
      <w:r w:rsidRPr="00651262">
        <w:rPr>
          <w:rFonts w:ascii="Georgia" w:hAnsi="Georgia"/>
          <w:color w:val="000000"/>
        </w:rPr>
        <w:t>Dieu a fait habiter sur toute la face de la terre tout le genre humain, issu d’un seul ; il a fixé aux peuples les temps qui leur étaient départis et les limites de leur habitat, afin que les hommes cherchent la divinité pour l’atteindre, si possible, comme à tâtons, et la trouver ; aussi bien n’est-elle pas loin de chacun de nous. C’est en elle en effet que nous avons la vie, le mouvement et l’être (</w:t>
      </w:r>
      <w:proofErr w:type="spellStart"/>
      <w:r w:rsidRPr="00651262">
        <w:rPr>
          <w:rFonts w:ascii="Georgia" w:hAnsi="Georgia"/>
          <w:color w:val="000000"/>
        </w:rPr>
        <w:t>Ac</w:t>
      </w:r>
      <w:proofErr w:type="spellEnd"/>
      <w:r w:rsidRPr="00651262">
        <w:rPr>
          <w:rFonts w:ascii="Georgia" w:hAnsi="Georgia"/>
          <w:color w:val="000000"/>
        </w:rPr>
        <w:t xml:space="preserve"> 17, 26-28).</w:t>
      </w:r>
    </w:p>
    <w:p w14:paraId="4A420AEF" w14:textId="77777777" w:rsidR="00651262" w:rsidRPr="00651262" w:rsidRDefault="00651262" w:rsidP="00651262">
      <w:pPr>
        <w:pStyle w:val="NormalWeb"/>
        <w:rPr>
          <w:rFonts w:ascii="Georgia" w:hAnsi="Georgia"/>
          <w:color w:val="000000"/>
        </w:rPr>
      </w:pPr>
      <w:r w:rsidRPr="00651262">
        <w:rPr>
          <w:rFonts w:ascii="Georgia" w:hAnsi="Georgia"/>
          <w:color w:val="000000"/>
        </w:rPr>
        <w:t>29</w:t>
      </w:r>
      <w:r w:rsidRPr="00651262">
        <w:rPr>
          <w:rFonts w:ascii="Georgia" w:hAnsi="Georgia"/>
          <w:i/>
          <w:iCs/>
          <w:color w:val="000000"/>
        </w:rPr>
        <w:t> </w:t>
      </w:r>
      <w:r w:rsidRPr="00651262">
        <w:rPr>
          <w:rFonts w:ascii="Georgia" w:hAnsi="Georgia"/>
          <w:color w:val="000000"/>
        </w:rPr>
        <w:t xml:space="preserve">Mais ce " rapport intime et vital qui unit l’homme à Dieu " (GS 19, § 1) peut être oublié, méconnu et même rejeté explicitement par l’homme. De telles attitudes peuvent avoir des origines très diverses (cf. GS 19-21) : la révolte contre le mal dans le monde, l’ignorance ou l’indifférence religieuses, les soucis du monde et des richesses (cf. Mt 13, 22), le mauvais exemple des croyants, les courants de pensée hostiles à la religion, et finalement cette attitude de l’homme pécheur qui, de peur, se cache devant Dieu (cf. </w:t>
      </w:r>
      <w:proofErr w:type="spellStart"/>
      <w:r w:rsidRPr="00651262">
        <w:rPr>
          <w:rFonts w:ascii="Georgia" w:hAnsi="Georgia"/>
          <w:color w:val="000000"/>
        </w:rPr>
        <w:t>Gn</w:t>
      </w:r>
      <w:proofErr w:type="spellEnd"/>
      <w:r w:rsidRPr="00651262">
        <w:rPr>
          <w:rFonts w:ascii="Georgia" w:hAnsi="Georgia"/>
          <w:color w:val="000000"/>
        </w:rPr>
        <w:t xml:space="preserve"> 3, 8-10) et fuit devant son appel (cf. Jon 1, 3).</w:t>
      </w:r>
    </w:p>
    <w:p w14:paraId="62AA40D3" w14:textId="77777777" w:rsidR="00651262" w:rsidRPr="00651262" w:rsidRDefault="00651262" w:rsidP="00651262">
      <w:pPr>
        <w:pStyle w:val="NormalWeb"/>
        <w:rPr>
          <w:rFonts w:ascii="Georgia" w:hAnsi="Georgia"/>
          <w:color w:val="000000"/>
        </w:rPr>
      </w:pPr>
      <w:r w:rsidRPr="00651262">
        <w:rPr>
          <w:rFonts w:ascii="Georgia" w:hAnsi="Georgia"/>
          <w:color w:val="000000"/>
        </w:rPr>
        <w:t>30</w:t>
      </w:r>
      <w:r w:rsidRPr="00651262">
        <w:rPr>
          <w:rFonts w:ascii="Georgia" w:hAnsi="Georgia"/>
          <w:i/>
          <w:iCs/>
          <w:color w:val="000000"/>
        </w:rPr>
        <w:t> </w:t>
      </w:r>
      <w:r w:rsidRPr="00651262">
        <w:rPr>
          <w:rFonts w:ascii="Georgia" w:hAnsi="Georgia"/>
          <w:color w:val="000000"/>
        </w:rPr>
        <w:t>" Joie pour les cœurs qui cherchent Dieu " (Ps 105, 3). Si l’homme peut oublier ou refuser Dieu, Dieu, Lui, ne cesse d’appeler tout homme à Le chercher pour qu’il vive et trouve le bonheur. Mais cette quête exige de l’homme tout l’effort de son intelligence, la rectitude de sa volonté, " un cœur droit ", et aussi le témoignage des autres qui lui apprennent à chercher Dieu.</w:t>
      </w:r>
    </w:p>
    <w:p w14:paraId="3885BBDD" w14:textId="77777777" w:rsidR="00651262" w:rsidRPr="00651262" w:rsidRDefault="00651262" w:rsidP="00651262">
      <w:pPr>
        <w:pStyle w:val="NormalWeb"/>
        <w:ind w:left="1440"/>
        <w:rPr>
          <w:rFonts w:ascii="Georgia" w:hAnsi="Georgia"/>
          <w:color w:val="000000"/>
        </w:rPr>
      </w:pPr>
      <w:r w:rsidRPr="00651262">
        <w:rPr>
          <w:rFonts w:ascii="Georgia" w:hAnsi="Georgia"/>
          <w:color w:val="000000"/>
        </w:rPr>
        <w:t xml:space="preserve">Tu es grand, Seigneur, et louable hautement : grand est ton pouvoir et ta sagesse n’a point de mesure. Et l’homme, petite partie de ta création, prétend Te louer, précisément l’homme qui, revêtu de sa condition mortelle, porte en lui le témoignage de son péché et le témoignage que Tu résistes aux superbes. Malgré tout, l’homme, petite partie de ta création, veut Te louer. Toi-même Tu l’y incites, en faisant qu’il trouve ses délices dans ta louange, parce que Tu nous </w:t>
      </w:r>
      <w:proofErr w:type="gramStart"/>
      <w:r w:rsidRPr="00651262">
        <w:rPr>
          <w:rFonts w:ascii="Georgia" w:hAnsi="Georgia"/>
          <w:color w:val="000000"/>
        </w:rPr>
        <w:t>a</w:t>
      </w:r>
      <w:proofErr w:type="gramEnd"/>
      <w:r w:rsidRPr="00651262">
        <w:rPr>
          <w:rFonts w:ascii="Georgia" w:hAnsi="Georgia"/>
          <w:color w:val="000000"/>
        </w:rPr>
        <w:t xml:space="preserve"> fait pour Toi et notre cœur est sans repos tant qu’il ne se repose en Toi (S. Augustin, conf. 1, 1, 1).</w:t>
      </w:r>
    </w:p>
    <w:p w14:paraId="7D84E59F" w14:textId="77777777" w:rsidR="00651262" w:rsidRPr="00651262" w:rsidRDefault="00651262" w:rsidP="005B748E">
      <w:pPr>
        <w:rPr>
          <w:rFonts w:ascii="Georgia" w:hAnsi="Georgia"/>
          <w:color w:val="000000"/>
          <w:sz w:val="24"/>
          <w:szCs w:val="24"/>
          <w:shd w:val="clear" w:color="auto" w:fill="FFFFFF"/>
        </w:rPr>
      </w:pPr>
      <w:r w:rsidRPr="00651262">
        <w:rPr>
          <w:rFonts w:ascii="Georgia" w:hAnsi="Georgia"/>
          <w:sz w:val="24"/>
          <w:szCs w:val="24"/>
        </w:rPr>
        <w:t xml:space="preserve">Le Messie reconnu par les Juifs et certains </w:t>
      </w:r>
      <w:proofErr w:type="spellStart"/>
      <w:r w:rsidRPr="00651262">
        <w:rPr>
          <w:rFonts w:ascii="Georgia" w:hAnsi="Georgia"/>
          <w:sz w:val="24"/>
          <w:szCs w:val="24"/>
        </w:rPr>
        <w:t>payens</w:t>
      </w:r>
      <w:proofErr w:type="spellEnd"/>
      <w:r w:rsidRPr="00651262">
        <w:rPr>
          <w:rFonts w:ascii="Georgia" w:hAnsi="Georgia"/>
          <w:sz w:val="24"/>
          <w:szCs w:val="24"/>
        </w:rPr>
        <w:t xml:space="preserve"> : </w:t>
      </w:r>
      <w:r w:rsidRPr="00651262">
        <w:rPr>
          <w:rFonts w:ascii="Georgia" w:hAnsi="Georgia"/>
          <w:color w:val="000000"/>
          <w:sz w:val="24"/>
          <w:szCs w:val="24"/>
          <w:shd w:val="clear" w:color="auto" w:fill="FFFFFF"/>
        </w:rPr>
        <w:t>439</w:t>
      </w:r>
      <w:r w:rsidRPr="00651262">
        <w:rPr>
          <w:rFonts w:ascii="Georgia" w:hAnsi="Georgia"/>
          <w:i/>
          <w:iCs/>
          <w:color w:val="000000"/>
          <w:sz w:val="24"/>
          <w:szCs w:val="24"/>
          <w:shd w:val="clear" w:color="auto" w:fill="FFFFFF"/>
        </w:rPr>
        <w:t> </w:t>
      </w:r>
      <w:r w:rsidRPr="00651262">
        <w:rPr>
          <w:rFonts w:ascii="Georgia" w:hAnsi="Georgia"/>
          <w:color w:val="000000"/>
          <w:sz w:val="24"/>
          <w:szCs w:val="24"/>
          <w:shd w:val="clear" w:color="auto" w:fill="FFFFFF"/>
        </w:rPr>
        <w:t xml:space="preserve">De nombreux juifs et même certains païens qui partageaient leur espérance ont reconnu en Jésus les traits fondamentaux du " fils de David " messianique promis par Dieu à Israël (cf. Mt 2, 2 ; 9, 27 ; 12, 23 ; 15, 22 ; 20, 30 ; 21, 9. 15). </w:t>
      </w:r>
      <w:r w:rsidRPr="00651262">
        <w:rPr>
          <w:rFonts w:ascii="Georgia" w:hAnsi="Georgia"/>
          <w:color w:val="000000"/>
          <w:sz w:val="24"/>
          <w:szCs w:val="24"/>
          <w:shd w:val="clear" w:color="auto" w:fill="FFFFFF"/>
        </w:rPr>
        <w:lastRenderedPageBreak/>
        <w:t xml:space="preserve">Jésus a accepté le titre de Messie auquel il avait droit (cf. </w:t>
      </w:r>
      <w:proofErr w:type="spellStart"/>
      <w:r w:rsidRPr="00651262">
        <w:rPr>
          <w:rFonts w:ascii="Georgia" w:hAnsi="Georgia"/>
          <w:color w:val="000000"/>
          <w:sz w:val="24"/>
          <w:szCs w:val="24"/>
          <w:shd w:val="clear" w:color="auto" w:fill="FFFFFF"/>
        </w:rPr>
        <w:t>Jn</w:t>
      </w:r>
      <w:proofErr w:type="spellEnd"/>
      <w:r w:rsidRPr="00651262">
        <w:rPr>
          <w:rFonts w:ascii="Georgia" w:hAnsi="Georgia"/>
          <w:color w:val="000000"/>
          <w:sz w:val="24"/>
          <w:szCs w:val="24"/>
          <w:shd w:val="clear" w:color="auto" w:fill="FFFFFF"/>
        </w:rPr>
        <w:t xml:space="preserve"> 4, 25-26 ; 11, 27), mais non sans réserve parce que celui-ci était compris par une partie de ses contemporains selon une conception trop humaine (cf. Mt 22, 41-46), essentiellement politique (cf. </w:t>
      </w:r>
      <w:proofErr w:type="spellStart"/>
      <w:r w:rsidRPr="00651262">
        <w:rPr>
          <w:rFonts w:ascii="Georgia" w:hAnsi="Georgia"/>
          <w:color w:val="000000"/>
          <w:sz w:val="24"/>
          <w:szCs w:val="24"/>
          <w:shd w:val="clear" w:color="auto" w:fill="FFFFFF"/>
        </w:rPr>
        <w:t>Jn</w:t>
      </w:r>
      <w:proofErr w:type="spellEnd"/>
      <w:r w:rsidRPr="00651262">
        <w:rPr>
          <w:rFonts w:ascii="Georgia" w:hAnsi="Georgia"/>
          <w:color w:val="000000"/>
          <w:sz w:val="24"/>
          <w:szCs w:val="24"/>
          <w:shd w:val="clear" w:color="auto" w:fill="FFFFFF"/>
        </w:rPr>
        <w:t xml:space="preserve"> 6, 15 ; </w:t>
      </w:r>
      <w:proofErr w:type="spellStart"/>
      <w:r w:rsidRPr="00651262">
        <w:rPr>
          <w:rFonts w:ascii="Georgia" w:hAnsi="Georgia"/>
          <w:color w:val="000000"/>
          <w:sz w:val="24"/>
          <w:szCs w:val="24"/>
          <w:shd w:val="clear" w:color="auto" w:fill="FFFFFF"/>
        </w:rPr>
        <w:t>Lc</w:t>
      </w:r>
      <w:proofErr w:type="spellEnd"/>
      <w:r w:rsidRPr="00651262">
        <w:rPr>
          <w:rFonts w:ascii="Georgia" w:hAnsi="Georgia"/>
          <w:color w:val="000000"/>
          <w:sz w:val="24"/>
          <w:szCs w:val="24"/>
          <w:shd w:val="clear" w:color="auto" w:fill="FFFFFF"/>
        </w:rPr>
        <w:t xml:space="preserve"> 24, 21).</w:t>
      </w:r>
    </w:p>
    <w:p w14:paraId="6E6A0AE2" w14:textId="77777777" w:rsidR="00651262" w:rsidRPr="00651262" w:rsidRDefault="00651262" w:rsidP="00651262">
      <w:pPr>
        <w:pStyle w:val="NormalWeb"/>
        <w:rPr>
          <w:rFonts w:ascii="Georgia" w:hAnsi="Georgia"/>
          <w:color w:val="000000"/>
        </w:rPr>
      </w:pPr>
      <w:r w:rsidRPr="00651262">
        <w:rPr>
          <w:rFonts w:ascii="Georgia" w:hAnsi="Georgia"/>
          <w:b/>
          <w:bCs/>
          <w:color w:val="000000"/>
        </w:rPr>
        <w:t>Le mystère de Noël</w:t>
      </w:r>
    </w:p>
    <w:p w14:paraId="75305F55" w14:textId="77777777" w:rsidR="00651262" w:rsidRPr="00651262" w:rsidRDefault="00651262" w:rsidP="00651262">
      <w:pPr>
        <w:pStyle w:val="NormalWeb"/>
        <w:rPr>
          <w:rFonts w:ascii="Georgia" w:hAnsi="Georgia"/>
          <w:color w:val="000000"/>
        </w:rPr>
      </w:pPr>
      <w:r w:rsidRPr="00651262">
        <w:rPr>
          <w:rFonts w:ascii="Georgia" w:hAnsi="Georgia"/>
          <w:color w:val="000000"/>
        </w:rPr>
        <w:t>525</w:t>
      </w:r>
      <w:r w:rsidRPr="00651262">
        <w:rPr>
          <w:rFonts w:ascii="Georgia" w:hAnsi="Georgia"/>
          <w:i/>
          <w:iCs/>
          <w:color w:val="000000"/>
        </w:rPr>
        <w:t> </w:t>
      </w:r>
      <w:r w:rsidRPr="00651262">
        <w:rPr>
          <w:rFonts w:ascii="Georgia" w:hAnsi="Georgia"/>
          <w:color w:val="000000"/>
        </w:rPr>
        <w:t xml:space="preserve">Jésus est né dans l’humilité d’une étable, dans une famille pauvre (cf. </w:t>
      </w:r>
      <w:proofErr w:type="spellStart"/>
      <w:r w:rsidRPr="00651262">
        <w:rPr>
          <w:rFonts w:ascii="Georgia" w:hAnsi="Georgia"/>
          <w:color w:val="000000"/>
        </w:rPr>
        <w:t>Lc</w:t>
      </w:r>
      <w:proofErr w:type="spellEnd"/>
      <w:r w:rsidRPr="00651262">
        <w:rPr>
          <w:rFonts w:ascii="Georgia" w:hAnsi="Georgia"/>
          <w:color w:val="000000"/>
        </w:rPr>
        <w:t xml:space="preserve"> 2, 6-7) ; de simples bergers sont les premiers témoins de l’événement. C’est dans cette pauvreté que se manifeste la gloire du ciel (cf. </w:t>
      </w:r>
      <w:proofErr w:type="spellStart"/>
      <w:r w:rsidRPr="00651262">
        <w:rPr>
          <w:rFonts w:ascii="Georgia" w:hAnsi="Georgia"/>
          <w:color w:val="000000"/>
        </w:rPr>
        <w:t>Lc</w:t>
      </w:r>
      <w:proofErr w:type="spellEnd"/>
      <w:r w:rsidRPr="00651262">
        <w:rPr>
          <w:rFonts w:ascii="Georgia" w:hAnsi="Georgia"/>
          <w:color w:val="000000"/>
        </w:rPr>
        <w:t xml:space="preserve"> 2, 8-20). L’Église ne se lasse pas de chanter la gloire de cette nuit :</w:t>
      </w:r>
    </w:p>
    <w:p w14:paraId="5BC63AFC"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La Vierge aujourd’hui met au monde l’Éternel</w:t>
      </w:r>
    </w:p>
    <w:p w14:paraId="5ED1C02B"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Et la terre offre une grotte à l’Inaccessible.</w:t>
      </w:r>
    </w:p>
    <w:p w14:paraId="2FC61DAB"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Les anges et les pasteurs le louent</w:t>
      </w:r>
    </w:p>
    <w:p w14:paraId="5E6D001C"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Et les mages avec l’étoile s’avancent,</w:t>
      </w:r>
    </w:p>
    <w:p w14:paraId="16AA2DF5"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Car Tu es né pour nous,</w:t>
      </w:r>
    </w:p>
    <w:p w14:paraId="19B1C62E" w14:textId="77777777" w:rsidR="00651262" w:rsidRP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Petit Enfant, Dieu éternel !</w:t>
      </w:r>
    </w:p>
    <w:p w14:paraId="540C92B3" w14:textId="77777777" w:rsidR="00651262" w:rsidRDefault="00651262" w:rsidP="00651262">
      <w:pPr>
        <w:pStyle w:val="NormalWeb"/>
        <w:spacing w:before="0" w:beforeAutospacing="0" w:after="0" w:afterAutospacing="0"/>
        <w:ind w:left="1440"/>
        <w:rPr>
          <w:rFonts w:ascii="Georgia" w:hAnsi="Georgia"/>
          <w:color w:val="000000"/>
        </w:rPr>
      </w:pPr>
      <w:r w:rsidRPr="00651262">
        <w:rPr>
          <w:rFonts w:ascii="Georgia" w:hAnsi="Georgia"/>
          <w:color w:val="000000"/>
        </w:rPr>
        <w:t>(Kontakion de Romanos le Mélode)</w:t>
      </w:r>
    </w:p>
    <w:p w14:paraId="0164BB84" w14:textId="77777777" w:rsidR="00651262" w:rsidRPr="00651262" w:rsidRDefault="00651262" w:rsidP="00651262">
      <w:pPr>
        <w:pStyle w:val="NormalWeb"/>
        <w:spacing w:before="0" w:beforeAutospacing="0" w:after="0" w:afterAutospacing="0"/>
        <w:ind w:left="1440"/>
        <w:rPr>
          <w:rFonts w:ascii="Georgia" w:hAnsi="Georgia"/>
          <w:color w:val="000000"/>
        </w:rPr>
      </w:pPr>
    </w:p>
    <w:p w14:paraId="107A6C4E" w14:textId="77777777" w:rsidR="00651262" w:rsidRPr="00651262" w:rsidRDefault="00651262" w:rsidP="00651262">
      <w:pPr>
        <w:pStyle w:val="NormalWeb"/>
        <w:rPr>
          <w:rFonts w:ascii="Georgia" w:hAnsi="Georgia"/>
          <w:color w:val="000000"/>
        </w:rPr>
      </w:pPr>
      <w:r w:rsidRPr="00651262">
        <w:rPr>
          <w:rFonts w:ascii="Georgia" w:hAnsi="Georgia"/>
          <w:color w:val="000000"/>
        </w:rPr>
        <w:t>526</w:t>
      </w:r>
      <w:r w:rsidRPr="00651262">
        <w:rPr>
          <w:rFonts w:ascii="Georgia" w:hAnsi="Georgia"/>
          <w:i/>
          <w:iCs/>
          <w:color w:val="000000"/>
        </w:rPr>
        <w:t> </w:t>
      </w:r>
      <w:r w:rsidRPr="00651262">
        <w:rPr>
          <w:rFonts w:ascii="Georgia" w:hAnsi="Georgia"/>
          <w:color w:val="000000"/>
        </w:rPr>
        <w:t>" Devenir enfant " par rapport à Dieu est la condition pour entrer dans le Royaume (cf. Mt 18, 3-4) ; pour cela il faut s’abaisser (cf. Mt 23, 12), devenir petit ; plus encore : il faut " naître d’en haut " (</w:t>
      </w:r>
      <w:proofErr w:type="spellStart"/>
      <w:r w:rsidRPr="00651262">
        <w:rPr>
          <w:rFonts w:ascii="Georgia" w:hAnsi="Georgia"/>
          <w:color w:val="000000"/>
        </w:rPr>
        <w:t>Jn</w:t>
      </w:r>
      <w:proofErr w:type="spellEnd"/>
      <w:r w:rsidRPr="00651262">
        <w:rPr>
          <w:rFonts w:ascii="Georgia" w:hAnsi="Georgia"/>
          <w:color w:val="000000"/>
        </w:rPr>
        <w:t xml:space="preserve"> 3, 7), " naître de Dieu " (</w:t>
      </w:r>
      <w:proofErr w:type="spellStart"/>
      <w:r w:rsidRPr="00651262">
        <w:rPr>
          <w:rFonts w:ascii="Georgia" w:hAnsi="Georgia"/>
          <w:color w:val="000000"/>
        </w:rPr>
        <w:t>Jn</w:t>
      </w:r>
      <w:proofErr w:type="spellEnd"/>
      <w:r w:rsidRPr="00651262">
        <w:rPr>
          <w:rFonts w:ascii="Georgia" w:hAnsi="Georgia"/>
          <w:color w:val="000000"/>
        </w:rPr>
        <w:t xml:space="preserve"> 1, 13) pour " devenir enfants de Dieu " (</w:t>
      </w:r>
      <w:proofErr w:type="spellStart"/>
      <w:r w:rsidRPr="00651262">
        <w:rPr>
          <w:rFonts w:ascii="Georgia" w:hAnsi="Georgia"/>
          <w:color w:val="000000"/>
        </w:rPr>
        <w:t>Jn</w:t>
      </w:r>
      <w:proofErr w:type="spellEnd"/>
      <w:r w:rsidRPr="00651262">
        <w:rPr>
          <w:rFonts w:ascii="Georgia" w:hAnsi="Georgia"/>
          <w:color w:val="000000"/>
        </w:rPr>
        <w:t xml:space="preserve"> 1, 12). Le mystère de Noël s’accomplit en nous lorsque le Christ " prend forme " en nous (Ga 4, 19). Noël est le mystère de cet " admirable échange " :</w:t>
      </w:r>
    </w:p>
    <w:p w14:paraId="4399AC67" w14:textId="77777777" w:rsidR="00651262" w:rsidRPr="00651262" w:rsidRDefault="00651262" w:rsidP="00651262">
      <w:pPr>
        <w:pStyle w:val="NormalWeb"/>
        <w:ind w:left="1440"/>
        <w:rPr>
          <w:rFonts w:ascii="Georgia" w:hAnsi="Georgia"/>
          <w:color w:val="000000"/>
        </w:rPr>
      </w:pPr>
      <w:r w:rsidRPr="00651262">
        <w:rPr>
          <w:rFonts w:ascii="Georgia" w:hAnsi="Georgia"/>
          <w:color w:val="000000"/>
        </w:rPr>
        <w:t>O admirable échange ! Le créateur du genre humain, assumant un corps et une âme, a daigné naître d’une vierge et, devenu homme sans l’intervention de l’homme, Il nous a fait don de sa divinité (LH, antienne de l’octave de Noël).</w:t>
      </w:r>
    </w:p>
    <w:p w14:paraId="7977B602" w14:textId="77777777" w:rsidR="00651262" w:rsidRPr="00651262" w:rsidRDefault="00651262" w:rsidP="005B748E">
      <w:pPr>
        <w:rPr>
          <w:rFonts w:ascii="Georgia" w:hAnsi="Georgia"/>
          <w:sz w:val="24"/>
          <w:szCs w:val="24"/>
        </w:rPr>
      </w:pPr>
      <w:r w:rsidRPr="00651262">
        <w:rPr>
          <w:rFonts w:ascii="Georgia" w:hAnsi="Georgia"/>
          <w:color w:val="000000"/>
          <w:sz w:val="24"/>
          <w:szCs w:val="24"/>
          <w:shd w:val="clear" w:color="auto" w:fill="FFFFFF"/>
        </w:rPr>
        <w:t>528</w:t>
      </w:r>
      <w:r w:rsidRPr="00651262">
        <w:rPr>
          <w:rFonts w:ascii="Georgia" w:hAnsi="Georgia"/>
          <w:i/>
          <w:iCs/>
          <w:color w:val="000000"/>
          <w:sz w:val="24"/>
          <w:szCs w:val="24"/>
          <w:shd w:val="clear" w:color="auto" w:fill="FFFFFF"/>
        </w:rPr>
        <w:t> </w:t>
      </w:r>
      <w:r w:rsidRPr="00651262">
        <w:rPr>
          <w:rFonts w:ascii="Georgia" w:hAnsi="Georgia"/>
          <w:color w:val="000000"/>
          <w:sz w:val="24"/>
          <w:szCs w:val="24"/>
          <w:shd w:val="clear" w:color="auto" w:fill="FFFFFF"/>
        </w:rPr>
        <w:t>L’</w:t>
      </w:r>
      <w:r w:rsidRPr="00651262">
        <w:rPr>
          <w:rFonts w:ascii="Georgia" w:hAnsi="Georgia"/>
          <w:i/>
          <w:iCs/>
          <w:color w:val="000000"/>
          <w:sz w:val="24"/>
          <w:szCs w:val="24"/>
          <w:shd w:val="clear" w:color="auto" w:fill="FFFFFF"/>
        </w:rPr>
        <w:t>Épiphanie </w:t>
      </w:r>
      <w:r w:rsidRPr="00651262">
        <w:rPr>
          <w:rFonts w:ascii="Georgia" w:hAnsi="Georgia"/>
          <w:color w:val="000000"/>
          <w:sz w:val="24"/>
          <w:szCs w:val="24"/>
          <w:shd w:val="clear" w:color="auto" w:fill="FFFFFF"/>
        </w:rPr>
        <w:t xml:space="preserve">est la manifestation de Jésus comme Messie d’Israël, Fils de Dieu et Sauveur du monde. Avec le Baptême de Jésus au Jourdain et les noces de Cana (cf. LH, antienne du Magnificat des secondes vêpres de l’Épiphanie), elle célèbre l’adoration de Jésus par des " mages " venus d’Orient (Mt 2, 1). Dans ces " mages ", représentants des religions païennes environnantes, l’Évangile voit les prémices des nations qui accueillent la Bonne Nouvelle du salut par l’Incarnation. La venue des mages à Jérusalem pour " rendre hommage au roi des Juifs " (Mt 2, 2) montre qu’ils cherchent en Israël, à la lumière messianique de l’étoile de David (cf. Nb 24, 17 ; </w:t>
      </w:r>
      <w:proofErr w:type="spellStart"/>
      <w:r w:rsidRPr="00651262">
        <w:rPr>
          <w:rFonts w:ascii="Georgia" w:hAnsi="Georgia"/>
          <w:color w:val="000000"/>
          <w:sz w:val="24"/>
          <w:szCs w:val="24"/>
          <w:shd w:val="clear" w:color="auto" w:fill="FFFFFF"/>
        </w:rPr>
        <w:t>Ap</w:t>
      </w:r>
      <w:proofErr w:type="spellEnd"/>
      <w:r w:rsidRPr="00651262">
        <w:rPr>
          <w:rFonts w:ascii="Georgia" w:hAnsi="Georgia"/>
          <w:color w:val="000000"/>
          <w:sz w:val="24"/>
          <w:szCs w:val="24"/>
          <w:shd w:val="clear" w:color="auto" w:fill="FFFFFF"/>
        </w:rPr>
        <w:t xml:space="preserve"> 22, 16), celui qui sera le roi des nations (cf. Nb 24, 17-19). Leur venue signifie que les païens ne peuvent découvrir Jésus et l’adorer comme Fils de Dieu et Sauveur du monde qu’en se tournant vers les juifs (cf. </w:t>
      </w:r>
      <w:proofErr w:type="spellStart"/>
      <w:r w:rsidRPr="00651262">
        <w:rPr>
          <w:rFonts w:ascii="Georgia" w:hAnsi="Georgia"/>
          <w:color w:val="000000"/>
          <w:sz w:val="24"/>
          <w:szCs w:val="24"/>
          <w:shd w:val="clear" w:color="auto" w:fill="FFFFFF"/>
        </w:rPr>
        <w:t>Jn</w:t>
      </w:r>
      <w:proofErr w:type="spellEnd"/>
      <w:r w:rsidRPr="00651262">
        <w:rPr>
          <w:rFonts w:ascii="Georgia" w:hAnsi="Georgia"/>
          <w:color w:val="000000"/>
          <w:sz w:val="24"/>
          <w:szCs w:val="24"/>
          <w:shd w:val="clear" w:color="auto" w:fill="FFFFFF"/>
        </w:rPr>
        <w:t xml:space="preserve"> 4, 22) et en recevant d’eux leur promesse messianique telle qu’elle est contenue dans l’Ancien Testament (cf. Mt 2, 4-6). L’Épiphanie manifeste que " la plénitude des païens entre dans la famille des patriarches " (S. Léon le Grand, </w:t>
      </w:r>
      <w:proofErr w:type="spellStart"/>
      <w:r w:rsidRPr="00651262">
        <w:rPr>
          <w:rFonts w:ascii="Georgia" w:hAnsi="Georgia"/>
          <w:color w:val="000000"/>
          <w:sz w:val="24"/>
          <w:szCs w:val="24"/>
          <w:shd w:val="clear" w:color="auto" w:fill="FFFFFF"/>
        </w:rPr>
        <w:t>serm</w:t>
      </w:r>
      <w:proofErr w:type="spellEnd"/>
      <w:r w:rsidRPr="00651262">
        <w:rPr>
          <w:rFonts w:ascii="Georgia" w:hAnsi="Georgia"/>
          <w:color w:val="000000"/>
          <w:sz w:val="24"/>
          <w:szCs w:val="24"/>
          <w:shd w:val="clear" w:color="auto" w:fill="FFFFFF"/>
        </w:rPr>
        <w:t>. 33, 3 : PL 54, 242) et acquiert la </w:t>
      </w:r>
      <w:proofErr w:type="spellStart"/>
      <w:r w:rsidRPr="00651262">
        <w:rPr>
          <w:rFonts w:ascii="Georgia" w:hAnsi="Georgia"/>
          <w:i/>
          <w:iCs/>
          <w:color w:val="000000"/>
          <w:sz w:val="24"/>
          <w:szCs w:val="24"/>
          <w:shd w:val="clear" w:color="auto" w:fill="FFFFFF"/>
        </w:rPr>
        <w:t>Israelitica</w:t>
      </w:r>
      <w:proofErr w:type="spellEnd"/>
      <w:r w:rsidRPr="00651262">
        <w:rPr>
          <w:rFonts w:ascii="Georgia" w:hAnsi="Georgia"/>
          <w:i/>
          <w:iCs/>
          <w:color w:val="000000"/>
          <w:sz w:val="24"/>
          <w:szCs w:val="24"/>
          <w:shd w:val="clear" w:color="auto" w:fill="FFFFFF"/>
        </w:rPr>
        <w:t xml:space="preserve"> </w:t>
      </w:r>
      <w:proofErr w:type="spellStart"/>
      <w:r w:rsidRPr="00651262">
        <w:rPr>
          <w:rFonts w:ascii="Georgia" w:hAnsi="Georgia"/>
          <w:i/>
          <w:iCs/>
          <w:color w:val="000000"/>
          <w:sz w:val="24"/>
          <w:szCs w:val="24"/>
          <w:shd w:val="clear" w:color="auto" w:fill="FFFFFF"/>
        </w:rPr>
        <w:t>dignitas</w:t>
      </w:r>
      <w:proofErr w:type="spellEnd"/>
      <w:r w:rsidRPr="00651262">
        <w:rPr>
          <w:rFonts w:ascii="Georgia" w:hAnsi="Georgia"/>
          <w:color w:val="000000"/>
          <w:sz w:val="24"/>
          <w:szCs w:val="24"/>
          <w:shd w:val="clear" w:color="auto" w:fill="FFFFFF"/>
        </w:rPr>
        <w:t> (MR, Vigile Pascale 26 : prière après la troisième lecture).</w:t>
      </w:r>
    </w:p>
    <w:sectPr w:rsidR="00651262" w:rsidRPr="00651262" w:rsidSect="005B74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74BD3"/>
    <w:multiLevelType w:val="hybridMultilevel"/>
    <w:tmpl w:val="3886F97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8E"/>
    <w:rsid w:val="0000730A"/>
    <w:rsid w:val="00434685"/>
    <w:rsid w:val="005B748E"/>
    <w:rsid w:val="00651262"/>
    <w:rsid w:val="00A062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8B02"/>
  <w15:docId w15:val="{05E1E6A1-08D6-4020-9D1E-8F7CC78D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meroverset">
    <w:name w:val="numero_verset"/>
    <w:basedOn w:val="Policepardfaut"/>
    <w:rsid w:val="005B748E"/>
  </w:style>
  <w:style w:type="character" w:customStyle="1" w:styleId="contentverset">
    <w:name w:val="content_verset"/>
    <w:basedOn w:val="Policepardfaut"/>
    <w:rsid w:val="005B748E"/>
  </w:style>
  <w:style w:type="table" w:styleId="Grilledutableau">
    <w:name w:val="Table Grid"/>
    <w:basedOn w:val="TableauNormal"/>
    <w:uiPriority w:val="59"/>
    <w:rsid w:val="005B74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748E"/>
    <w:pPr>
      <w:ind w:left="720"/>
      <w:contextualSpacing/>
    </w:pPr>
  </w:style>
  <w:style w:type="paragraph" w:styleId="NormalWeb">
    <w:name w:val="Normal (Web)"/>
    <w:basedOn w:val="Normal"/>
    <w:uiPriority w:val="99"/>
    <w:semiHidden/>
    <w:unhideWhenUsed/>
    <w:rsid w:val="00651262"/>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0554">
      <w:bodyDiv w:val="1"/>
      <w:marLeft w:val="0"/>
      <w:marRight w:val="0"/>
      <w:marTop w:val="0"/>
      <w:marBottom w:val="0"/>
      <w:divBdr>
        <w:top w:val="none" w:sz="0" w:space="0" w:color="auto"/>
        <w:left w:val="none" w:sz="0" w:space="0" w:color="auto"/>
        <w:bottom w:val="none" w:sz="0" w:space="0" w:color="auto"/>
        <w:right w:val="none" w:sz="0" w:space="0" w:color="auto"/>
      </w:divBdr>
    </w:div>
    <w:div w:id="1329363229">
      <w:bodyDiv w:val="1"/>
      <w:marLeft w:val="0"/>
      <w:marRight w:val="0"/>
      <w:marTop w:val="0"/>
      <w:marBottom w:val="0"/>
      <w:divBdr>
        <w:top w:val="none" w:sz="0" w:space="0" w:color="auto"/>
        <w:left w:val="none" w:sz="0" w:space="0" w:color="auto"/>
        <w:bottom w:val="none" w:sz="0" w:space="0" w:color="auto"/>
        <w:right w:val="none" w:sz="0" w:space="0" w:color="auto"/>
      </w:divBdr>
      <w:divsChild>
        <w:div w:id="1899634392">
          <w:marLeft w:val="0"/>
          <w:marRight w:val="0"/>
          <w:marTop w:val="0"/>
          <w:marBottom w:val="0"/>
          <w:divBdr>
            <w:top w:val="none" w:sz="0" w:space="0" w:color="auto"/>
            <w:left w:val="none" w:sz="0" w:space="0" w:color="auto"/>
            <w:bottom w:val="none" w:sz="0" w:space="0" w:color="auto"/>
            <w:right w:val="none" w:sz="0" w:space="0" w:color="auto"/>
          </w:divBdr>
          <w:divsChild>
            <w:div w:id="962275113">
              <w:marLeft w:val="0"/>
              <w:marRight w:val="0"/>
              <w:marTop w:val="0"/>
              <w:marBottom w:val="0"/>
              <w:divBdr>
                <w:top w:val="none" w:sz="0" w:space="0" w:color="auto"/>
                <w:left w:val="none" w:sz="0" w:space="0" w:color="auto"/>
                <w:bottom w:val="none" w:sz="0" w:space="0" w:color="auto"/>
                <w:right w:val="none" w:sz="0" w:space="0" w:color="auto"/>
              </w:divBdr>
              <w:divsChild>
                <w:div w:id="1876965284">
                  <w:marLeft w:val="0"/>
                  <w:marRight w:val="0"/>
                  <w:marTop w:val="0"/>
                  <w:marBottom w:val="0"/>
                  <w:divBdr>
                    <w:top w:val="none" w:sz="0" w:space="0" w:color="auto"/>
                    <w:left w:val="none" w:sz="0" w:space="0" w:color="auto"/>
                    <w:bottom w:val="none" w:sz="0" w:space="0" w:color="auto"/>
                    <w:right w:val="none" w:sz="0" w:space="0" w:color="auto"/>
                  </w:divBdr>
                  <w:divsChild>
                    <w:div w:id="459038920">
                      <w:marLeft w:val="0"/>
                      <w:marRight w:val="0"/>
                      <w:marTop w:val="0"/>
                      <w:marBottom w:val="0"/>
                      <w:divBdr>
                        <w:top w:val="none" w:sz="0" w:space="0" w:color="auto"/>
                        <w:left w:val="none" w:sz="0" w:space="0" w:color="auto"/>
                        <w:bottom w:val="none" w:sz="0" w:space="0" w:color="auto"/>
                        <w:right w:val="none" w:sz="0" w:space="0" w:color="auto"/>
                      </w:divBdr>
                      <w:divsChild>
                        <w:div w:id="1665207575">
                          <w:marLeft w:val="0"/>
                          <w:marRight w:val="0"/>
                          <w:marTop w:val="0"/>
                          <w:marBottom w:val="0"/>
                          <w:divBdr>
                            <w:top w:val="none" w:sz="0" w:space="0" w:color="auto"/>
                            <w:left w:val="none" w:sz="0" w:space="0" w:color="auto"/>
                            <w:bottom w:val="none" w:sz="0" w:space="0" w:color="auto"/>
                            <w:right w:val="none" w:sz="0" w:space="0" w:color="auto"/>
                          </w:divBdr>
                        </w:div>
                        <w:div w:id="857038326">
                          <w:marLeft w:val="0"/>
                          <w:marRight w:val="0"/>
                          <w:marTop w:val="0"/>
                          <w:marBottom w:val="0"/>
                          <w:divBdr>
                            <w:top w:val="none" w:sz="0" w:space="0" w:color="auto"/>
                            <w:left w:val="none" w:sz="0" w:space="0" w:color="auto"/>
                            <w:bottom w:val="none" w:sz="0" w:space="0" w:color="auto"/>
                            <w:right w:val="none" w:sz="0" w:space="0" w:color="auto"/>
                          </w:divBdr>
                        </w:div>
                        <w:div w:id="1489521009">
                          <w:marLeft w:val="0"/>
                          <w:marRight w:val="0"/>
                          <w:marTop w:val="0"/>
                          <w:marBottom w:val="0"/>
                          <w:divBdr>
                            <w:top w:val="none" w:sz="0" w:space="0" w:color="auto"/>
                            <w:left w:val="none" w:sz="0" w:space="0" w:color="auto"/>
                            <w:bottom w:val="none" w:sz="0" w:space="0" w:color="auto"/>
                            <w:right w:val="none" w:sz="0" w:space="0" w:color="auto"/>
                          </w:divBdr>
                        </w:div>
                        <w:div w:id="193739764">
                          <w:marLeft w:val="0"/>
                          <w:marRight w:val="0"/>
                          <w:marTop w:val="0"/>
                          <w:marBottom w:val="0"/>
                          <w:divBdr>
                            <w:top w:val="none" w:sz="0" w:space="0" w:color="auto"/>
                            <w:left w:val="none" w:sz="0" w:space="0" w:color="auto"/>
                            <w:bottom w:val="none" w:sz="0" w:space="0" w:color="auto"/>
                            <w:right w:val="none" w:sz="0" w:space="0" w:color="auto"/>
                          </w:divBdr>
                        </w:div>
                        <w:div w:id="133763978">
                          <w:marLeft w:val="0"/>
                          <w:marRight w:val="0"/>
                          <w:marTop w:val="0"/>
                          <w:marBottom w:val="0"/>
                          <w:divBdr>
                            <w:top w:val="none" w:sz="0" w:space="0" w:color="auto"/>
                            <w:left w:val="none" w:sz="0" w:space="0" w:color="auto"/>
                            <w:bottom w:val="none" w:sz="0" w:space="0" w:color="auto"/>
                            <w:right w:val="none" w:sz="0" w:space="0" w:color="auto"/>
                          </w:divBdr>
                        </w:div>
                        <w:div w:id="825249049">
                          <w:marLeft w:val="0"/>
                          <w:marRight w:val="0"/>
                          <w:marTop w:val="0"/>
                          <w:marBottom w:val="0"/>
                          <w:divBdr>
                            <w:top w:val="none" w:sz="0" w:space="0" w:color="auto"/>
                            <w:left w:val="none" w:sz="0" w:space="0" w:color="auto"/>
                            <w:bottom w:val="none" w:sz="0" w:space="0" w:color="auto"/>
                            <w:right w:val="none" w:sz="0" w:space="0" w:color="auto"/>
                          </w:divBdr>
                        </w:div>
                        <w:div w:id="1529878016">
                          <w:marLeft w:val="0"/>
                          <w:marRight w:val="0"/>
                          <w:marTop w:val="0"/>
                          <w:marBottom w:val="0"/>
                          <w:divBdr>
                            <w:top w:val="none" w:sz="0" w:space="0" w:color="auto"/>
                            <w:left w:val="none" w:sz="0" w:space="0" w:color="auto"/>
                            <w:bottom w:val="none" w:sz="0" w:space="0" w:color="auto"/>
                            <w:right w:val="none" w:sz="0" w:space="0" w:color="auto"/>
                          </w:divBdr>
                        </w:div>
                        <w:div w:id="2070953555">
                          <w:marLeft w:val="0"/>
                          <w:marRight w:val="0"/>
                          <w:marTop w:val="0"/>
                          <w:marBottom w:val="0"/>
                          <w:divBdr>
                            <w:top w:val="none" w:sz="0" w:space="0" w:color="auto"/>
                            <w:left w:val="none" w:sz="0" w:space="0" w:color="auto"/>
                            <w:bottom w:val="none" w:sz="0" w:space="0" w:color="auto"/>
                            <w:right w:val="none" w:sz="0" w:space="0" w:color="auto"/>
                          </w:divBdr>
                        </w:div>
                        <w:div w:id="560408627">
                          <w:marLeft w:val="0"/>
                          <w:marRight w:val="0"/>
                          <w:marTop w:val="0"/>
                          <w:marBottom w:val="0"/>
                          <w:divBdr>
                            <w:top w:val="none" w:sz="0" w:space="0" w:color="auto"/>
                            <w:left w:val="none" w:sz="0" w:space="0" w:color="auto"/>
                            <w:bottom w:val="none" w:sz="0" w:space="0" w:color="auto"/>
                            <w:right w:val="none" w:sz="0" w:space="0" w:color="auto"/>
                          </w:divBdr>
                        </w:div>
                        <w:div w:id="1321621609">
                          <w:marLeft w:val="0"/>
                          <w:marRight w:val="0"/>
                          <w:marTop w:val="0"/>
                          <w:marBottom w:val="0"/>
                          <w:divBdr>
                            <w:top w:val="none" w:sz="0" w:space="0" w:color="auto"/>
                            <w:left w:val="none" w:sz="0" w:space="0" w:color="auto"/>
                            <w:bottom w:val="none" w:sz="0" w:space="0" w:color="auto"/>
                            <w:right w:val="none" w:sz="0" w:space="0" w:color="auto"/>
                          </w:divBdr>
                        </w:div>
                        <w:div w:id="14288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6835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Marlena Schouwey</cp:lastModifiedBy>
  <cp:revision>2</cp:revision>
  <dcterms:created xsi:type="dcterms:W3CDTF">2021-01-27T14:26:00Z</dcterms:created>
  <dcterms:modified xsi:type="dcterms:W3CDTF">2021-01-27T14:26:00Z</dcterms:modified>
</cp:coreProperties>
</file>